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880"/>
        <w:jc w:val="center"/>
        <w:rPr>
          <w:rFonts w:cs="Times New Roman"/>
          <w:b/>
          <w:color w:val="auto"/>
          <w:sz w:val="44"/>
          <w:szCs w:val="44"/>
          <w:highlight w:val="none"/>
        </w:rPr>
      </w:pPr>
      <w:r>
        <w:rPr>
          <w:rFonts w:cs="Times New Roman"/>
          <w:b/>
          <w:color w:val="auto"/>
          <w:sz w:val="44"/>
          <w:szCs w:val="44"/>
          <w:highlight w:val="none"/>
        </w:rPr>
        <w:t xml:space="preserve"> </w:t>
      </w:r>
    </w:p>
    <w:p>
      <w:pPr>
        <w:pStyle w:val="21"/>
        <w:ind w:firstLine="0" w:firstLineChars="0"/>
        <w:rPr>
          <w:rFonts w:ascii="Times New Roman" w:hAnsi="Times New Roman" w:eastAsia="方正小标宋_GBK" w:cs="Times New Roman"/>
          <w:bCs/>
          <w:color w:val="auto"/>
          <w:highlight w:val="none"/>
        </w:rPr>
      </w:pPr>
      <w:r>
        <w:rPr>
          <w:rFonts w:hint="eastAsia" w:ascii="Times New Roman" w:hAnsi="Times New Roman" w:eastAsia="方正小标宋_GBK" w:cs="Times New Roman"/>
          <w:bCs/>
          <w:color w:val="auto"/>
          <w:highlight w:val="none"/>
          <w:lang w:eastAsia="zh-CN"/>
        </w:rPr>
        <w:t>《</w:t>
      </w:r>
      <w:r>
        <w:rPr>
          <w:rFonts w:ascii="Times New Roman" w:hAnsi="Times New Roman" w:eastAsia="方正小标宋_GBK" w:cs="Times New Roman"/>
          <w:bCs/>
          <w:color w:val="auto"/>
          <w:highlight w:val="none"/>
        </w:rPr>
        <w:t>生活垃圾焚烧大气污染物排放标准</w:t>
      </w:r>
      <w:r>
        <w:rPr>
          <w:rFonts w:hint="eastAsia" w:ascii="Times New Roman" w:hAnsi="Times New Roman" w:eastAsia="方正小标宋_GBK" w:cs="Times New Roman"/>
          <w:bCs/>
          <w:color w:val="auto"/>
          <w:highlight w:val="none"/>
          <w:lang w:eastAsia="zh-CN"/>
        </w:rPr>
        <w:t>》</w:t>
      </w:r>
    </w:p>
    <w:p>
      <w:pPr>
        <w:pStyle w:val="21"/>
        <w:ind w:firstLine="0" w:firstLineChars="0"/>
        <w:rPr>
          <w:rFonts w:ascii="Times New Roman" w:hAnsi="Times New Roman" w:eastAsia="方正小标宋_GBK" w:cs="Times New Roman"/>
          <w:bCs/>
          <w:color w:val="auto"/>
          <w:highlight w:val="none"/>
        </w:rPr>
      </w:pPr>
      <w:r>
        <w:rPr>
          <w:rFonts w:hint="eastAsia" w:ascii="Times New Roman" w:hAnsi="Times New Roman" w:eastAsia="方正小标宋_GBK" w:cs="方正小标宋_GBK"/>
          <w:bCs/>
          <w:color w:val="auto"/>
          <w:highlight w:val="none"/>
        </w:rPr>
        <w:t>河南省地方标准</w:t>
      </w:r>
      <w:r>
        <w:rPr>
          <w:rFonts w:ascii="Times New Roman" w:hAnsi="Times New Roman" w:eastAsia="方正小标宋_GBK" w:cs="Times New Roman"/>
          <w:bCs/>
          <w:color w:val="auto"/>
          <w:highlight w:val="none"/>
        </w:rPr>
        <w:t>编制说明</w:t>
      </w:r>
    </w:p>
    <w:p>
      <w:pPr>
        <w:pStyle w:val="21"/>
        <w:ind w:firstLine="0" w:firstLineChars="0"/>
        <w:rPr>
          <w:rFonts w:ascii="Times New Roman" w:hAnsi="Times New Roman" w:eastAsia="方正小标宋_GBK" w:cs="Times New Roman"/>
          <w:bCs/>
          <w:color w:val="auto"/>
          <w:sz w:val="30"/>
          <w:szCs w:val="30"/>
          <w:highlight w:val="none"/>
        </w:rPr>
      </w:pPr>
      <w:r>
        <w:rPr>
          <w:rFonts w:ascii="Times New Roman" w:hAnsi="Times New Roman" w:eastAsia="方正小标宋_GBK" w:cs="Times New Roman"/>
          <w:bCs/>
          <w:color w:val="auto"/>
          <w:sz w:val="30"/>
          <w:szCs w:val="30"/>
          <w:highlight w:val="none"/>
        </w:rPr>
        <w:t>（</w:t>
      </w:r>
      <w:r>
        <w:rPr>
          <w:rFonts w:hint="eastAsia" w:ascii="Times New Roman" w:hAnsi="Times New Roman" w:eastAsia="方正小标宋_GBK" w:cs="Times New Roman"/>
          <w:bCs/>
          <w:color w:val="auto"/>
          <w:sz w:val="30"/>
          <w:szCs w:val="30"/>
          <w:highlight w:val="none"/>
          <w:lang w:val="en-US" w:eastAsia="zh-CN"/>
        </w:rPr>
        <w:t>二次征求意见稿</w:t>
      </w:r>
      <w:r>
        <w:rPr>
          <w:rFonts w:ascii="Times New Roman" w:hAnsi="Times New Roman" w:eastAsia="方正小标宋_GBK" w:cs="Times New Roman"/>
          <w:bCs/>
          <w:color w:val="auto"/>
          <w:sz w:val="30"/>
          <w:szCs w:val="30"/>
          <w:highlight w:val="none"/>
        </w:rPr>
        <w:t>）</w:t>
      </w:r>
    </w:p>
    <w:p>
      <w:pPr>
        <w:ind w:firstLine="880"/>
        <w:jc w:val="center"/>
        <w:rPr>
          <w:rFonts w:cs="Times New Roman"/>
          <w:b/>
          <w:color w:val="auto"/>
          <w:sz w:val="44"/>
          <w:szCs w:val="44"/>
          <w:highlight w:val="none"/>
        </w:rPr>
      </w:pPr>
    </w:p>
    <w:p>
      <w:pPr>
        <w:ind w:firstLine="880"/>
        <w:jc w:val="center"/>
        <w:rPr>
          <w:rFonts w:cs="Times New Roman"/>
          <w:b/>
          <w:color w:val="auto"/>
          <w:sz w:val="44"/>
          <w:szCs w:val="44"/>
          <w:highlight w:val="none"/>
        </w:rPr>
      </w:pPr>
    </w:p>
    <w:p>
      <w:pPr>
        <w:ind w:firstLine="880"/>
        <w:jc w:val="center"/>
        <w:rPr>
          <w:rFonts w:cs="Times New Roman"/>
          <w:b/>
          <w:color w:val="auto"/>
          <w:sz w:val="44"/>
          <w:szCs w:val="44"/>
          <w:highlight w:val="none"/>
        </w:rPr>
      </w:pPr>
      <w:bookmarkStart w:id="204" w:name="_GoBack"/>
      <w:bookmarkEnd w:id="204"/>
    </w:p>
    <w:p>
      <w:pPr>
        <w:ind w:firstLine="880"/>
        <w:jc w:val="center"/>
        <w:rPr>
          <w:rFonts w:cs="Times New Roman"/>
          <w:b/>
          <w:color w:val="auto"/>
          <w:sz w:val="44"/>
          <w:szCs w:val="44"/>
          <w:highlight w:val="none"/>
        </w:rPr>
      </w:pPr>
    </w:p>
    <w:p>
      <w:pPr>
        <w:ind w:firstLine="880"/>
        <w:jc w:val="center"/>
        <w:rPr>
          <w:rFonts w:cs="Times New Roman"/>
          <w:b/>
          <w:color w:val="auto"/>
          <w:sz w:val="44"/>
          <w:szCs w:val="44"/>
          <w:highlight w:val="none"/>
        </w:rPr>
      </w:pPr>
    </w:p>
    <w:p>
      <w:pPr>
        <w:ind w:firstLine="880"/>
        <w:jc w:val="center"/>
        <w:rPr>
          <w:rFonts w:cs="Times New Roman"/>
          <w:b/>
          <w:color w:val="auto"/>
          <w:sz w:val="44"/>
          <w:szCs w:val="44"/>
          <w:highlight w:val="none"/>
        </w:rPr>
      </w:pPr>
    </w:p>
    <w:p>
      <w:pPr>
        <w:ind w:firstLine="880"/>
        <w:jc w:val="center"/>
        <w:rPr>
          <w:rFonts w:cs="Times New Roman"/>
          <w:b/>
          <w:color w:val="auto"/>
          <w:sz w:val="44"/>
          <w:szCs w:val="44"/>
          <w:highlight w:val="none"/>
        </w:rPr>
      </w:pPr>
    </w:p>
    <w:p>
      <w:pPr>
        <w:ind w:firstLine="880"/>
        <w:jc w:val="center"/>
        <w:rPr>
          <w:rFonts w:cs="Times New Roman"/>
          <w:b/>
          <w:color w:val="auto"/>
          <w:sz w:val="44"/>
          <w:szCs w:val="44"/>
          <w:highlight w:val="none"/>
        </w:rPr>
      </w:pPr>
    </w:p>
    <w:p>
      <w:pPr>
        <w:ind w:firstLine="880"/>
        <w:jc w:val="center"/>
        <w:rPr>
          <w:rFonts w:cs="Times New Roman"/>
          <w:b/>
          <w:color w:val="auto"/>
          <w:sz w:val="44"/>
          <w:szCs w:val="44"/>
          <w:highlight w:val="none"/>
        </w:rPr>
      </w:pPr>
    </w:p>
    <w:p>
      <w:pPr>
        <w:ind w:firstLine="880"/>
        <w:jc w:val="center"/>
        <w:rPr>
          <w:rFonts w:cs="Times New Roman"/>
          <w:b/>
          <w:color w:val="auto"/>
          <w:sz w:val="44"/>
          <w:szCs w:val="44"/>
          <w:highlight w:val="none"/>
        </w:rPr>
      </w:pPr>
    </w:p>
    <w:p>
      <w:pPr>
        <w:ind w:firstLine="880"/>
        <w:jc w:val="center"/>
        <w:rPr>
          <w:rFonts w:cs="Times New Roman"/>
          <w:b/>
          <w:color w:val="auto"/>
          <w:sz w:val="44"/>
          <w:szCs w:val="44"/>
          <w:highlight w:val="none"/>
        </w:rPr>
      </w:pPr>
    </w:p>
    <w:p>
      <w:pPr>
        <w:ind w:firstLine="880"/>
        <w:jc w:val="center"/>
        <w:rPr>
          <w:rFonts w:cs="Times New Roman"/>
          <w:b/>
          <w:color w:val="auto"/>
          <w:sz w:val="44"/>
          <w:szCs w:val="44"/>
          <w:highlight w:val="none"/>
        </w:rPr>
      </w:pPr>
    </w:p>
    <w:p>
      <w:pPr>
        <w:widowControl/>
        <w:ind w:firstLine="0" w:firstLineChars="0"/>
        <w:jc w:val="center"/>
        <w:rPr>
          <w:rFonts w:eastAsia="楷体" w:cs="Times New Roman"/>
          <w:color w:val="auto"/>
          <w:szCs w:val="32"/>
          <w:highlight w:val="none"/>
        </w:rPr>
      </w:pPr>
      <w:r>
        <w:rPr>
          <w:rFonts w:eastAsia="楷体" w:cs="Times New Roman"/>
          <w:color w:val="auto"/>
          <w:szCs w:val="32"/>
          <w:highlight w:val="none"/>
        </w:rPr>
        <w:t>标准编制组</w:t>
      </w:r>
    </w:p>
    <w:p>
      <w:pPr>
        <w:widowControl/>
        <w:ind w:firstLine="0" w:firstLineChars="0"/>
        <w:jc w:val="center"/>
        <w:rPr>
          <w:rFonts w:eastAsia="楷体" w:cs="Times New Roman"/>
          <w:color w:val="auto"/>
          <w:szCs w:val="32"/>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701" w:right="1361" w:bottom="1701" w:left="1588" w:header="851" w:footer="992" w:gutter="0"/>
          <w:cols w:space="720" w:num="1"/>
          <w:docGrid w:type="lines" w:linePitch="312" w:charSpace="0"/>
        </w:sectPr>
      </w:pPr>
      <w:bookmarkStart w:id="0" w:name="_Toc415063342"/>
      <w:r>
        <w:rPr>
          <w:rFonts w:eastAsia="楷体" w:cs="Times New Roman"/>
          <w:color w:val="auto"/>
          <w:szCs w:val="32"/>
          <w:highlight w:val="none"/>
        </w:rPr>
        <w:t>二0二</w:t>
      </w:r>
      <w:r>
        <w:rPr>
          <w:rFonts w:hint="eastAsia" w:eastAsia="楷体" w:cs="Times New Roman"/>
          <w:color w:val="auto"/>
          <w:szCs w:val="32"/>
          <w:highlight w:val="none"/>
          <w:lang w:val="en-US" w:eastAsia="zh-CN"/>
        </w:rPr>
        <w:t>三</w:t>
      </w:r>
      <w:r>
        <w:rPr>
          <w:rFonts w:eastAsia="楷体" w:cs="Times New Roman"/>
          <w:color w:val="auto"/>
          <w:szCs w:val="32"/>
          <w:highlight w:val="none"/>
        </w:rPr>
        <w:t>年</w:t>
      </w:r>
      <w:r>
        <w:rPr>
          <w:rFonts w:hint="eastAsia" w:eastAsia="楷体" w:cs="Times New Roman"/>
          <w:color w:val="auto"/>
          <w:szCs w:val="32"/>
          <w:highlight w:val="none"/>
          <w:lang w:val="en-US" w:eastAsia="zh-CN"/>
        </w:rPr>
        <w:t>八</w:t>
      </w:r>
      <w:r>
        <w:rPr>
          <w:rFonts w:eastAsia="楷体" w:cs="Times New Roman"/>
          <w:color w:val="auto"/>
          <w:szCs w:val="32"/>
          <w:highlight w:val="none"/>
        </w:rPr>
        <w:t>月</w:t>
      </w:r>
      <w:bookmarkEnd w:id="0"/>
    </w:p>
    <w:sdt>
      <w:sdtPr>
        <w:rPr>
          <w:rFonts w:cs="Times New Roman" w:eastAsiaTheme="minorEastAsia"/>
          <w:b/>
          <w:bCs/>
          <w:color w:val="auto"/>
          <w:highlight w:val="none"/>
          <w:lang w:val="zh-CN"/>
        </w:rPr>
        <w:id w:val="1578015777"/>
        <w:docPartObj>
          <w:docPartGallery w:val="Table of Contents"/>
          <w:docPartUnique/>
        </w:docPartObj>
      </w:sdtPr>
      <w:sdtEndPr>
        <w:rPr>
          <w:rFonts w:eastAsia="仿宋_GB2312" w:cs="Times New Roman"/>
          <w:b w:val="0"/>
          <w:bCs w:val="0"/>
          <w:color w:val="auto"/>
          <w:sz w:val="28"/>
          <w:szCs w:val="28"/>
          <w:highlight w:val="none"/>
          <w:lang w:val="zh-CN"/>
        </w:rPr>
      </w:sdtEndPr>
      <w:sdtContent>
        <w:p>
          <w:pPr>
            <w:pStyle w:val="6"/>
            <w:tabs>
              <w:tab w:val="right" w:leader="dot" w:pos="8296"/>
            </w:tabs>
            <w:ind w:left="272" w:leftChars="85" w:firstLine="643"/>
            <w:jc w:val="center"/>
            <w:rPr>
              <w:rFonts w:cs="Times New Roman" w:eastAsiaTheme="minorEastAsia"/>
              <w:b/>
              <w:bCs/>
              <w:color w:val="auto"/>
              <w:highlight w:val="none"/>
              <w:lang w:val="zh-CN"/>
            </w:rPr>
          </w:pPr>
          <w:r>
            <w:rPr>
              <w:rFonts w:cs="Times New Roman" w:eastAsiaTheme="minorEastAsia"/>
              <w:b/>
              <w:bCs/>
              <w:color w:val="auto"/>
              <w:highlight w:val="none"/>
              <w:lang w:val="zh-CN"/>
            </w:rPr>
            <w:t>目录</w:t>
          </w:r>
        </w:p>
        <w:p>
          <w:pPr>
            <w:pStyle w:val="10"/>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rPr>
              <w:color w:val="auto"/>
              <w:highlight w:val="none"/>
            </w:rPr>
          </w:pPr>
          <w:r>
            <w:rPr>
              <w:rFonts w:cs="Times New Roman"/>
              <w:color w:val="auto"/>
              <w:szCs w:val="32"/>
              <w:highlight w:val="none"/>
            </w:rPr>
            <w:fldChar w:fldCharType="begin"/>
          </w:r>
          <w:r>
            <w:rPr>
              <w:rFonts w:cs="Times New Roman"/>
              <w:color w:val="auto"/>
              <w:szCs w:val="32"/>
              <w:highlight w:val="none"/>
            </w:rPr>
            <w:instrText xml:space="preserve"> TOC \o "1-3" \h \z \u </w:instrText>
          </w:r>
          <w:r>
            <w:rPr>
              <w:rFonts w:cs="Times New Roman"/>
              <w:color w:val="auto"/>
              <w:szCs w:val="32"/>
              <w:highlight w:val="none"/>
            </w:rPr>
            <w:fldChar w:fldCharType="separate"/>
          </w:r>
          <w:r>
            <w:rPr>
              <w:rFonts w:cs="Times New Roman"/>
              <w:color w:val="auto"/>
              <w:szCs w:val="32"/>
              <w:highlight w:val="none"/>
            </w:rPr>
            <w:fldChar w:fldCharType="begin"/>
          </w:r>
          <w:r>
            <w:rPr>
              <w:rFonts w:cs="Times New Roman"/>
              <w:color w:val="auto"/>
              <w:szCs w:val="32"/>
              <w:highlight w:val="none"/>
            </w:rPr>
            <w:instrText xml:space="preserve"> HYPERLINK \l _Toc2817 </w:instrText>
          </w:r>
          <w:r>
            <w:rPr>
              <w:rFonts w:cs="Times New Roman"/>
              <w:color w:val="auto"/>
              <w:szCs w:val="32"/>
              <w:highlight w:val="none"/>
            </w:rPr>
            <w:fldChar w:fldCharType="separate"/>
          </w:r>
          <w:r>
            <w:rPr>
              <w:rFonts w:hint="eastAsia" w:ascii="Times New Roman" w:hAnsi="Times New Roman" w:eastAsia="仿宋_GB2312" w:cs="Times New Roman"/>
              <w:color w:val="auto"/>
              <w:kern w:val="2"/>
              <w:szCs w:val="22"/>
              <w:highlight w:val="none"/>
              <w:lang w:val="en-US" w:eastAsia="zh-CN"/>
            </w:rPr>
            <w:t>1.</w:t>
          </w:r>
          <w:r>
            <w:rPr>
              <w:rFonts w:hint="default" w:ascii="Times New Roman" w:hAnsi="Times New Roman" w:eastAsia="仿宋_GB2312" w:cs="Times New Roman"/>
              <w:color w:val="auto"/>
              <w:kern w:val="2"/>
              <w:szCs w:val="22"/>
              <w:highlight w:val="none"/>
              <w:lang w:val="en-US" w:eastAsia="zh-CN"/>
            </w:rPr>
            <w:t>编制的目的和意义</w:t>
          </w:r>
          <w:r>
            <w:rPr>
              <w:color w:val="auto"/>
              <w:highlight w:val="none"/>
            </w:rPr>
            <w:tab/>
          </w:r>
          <w:r>
            <w:rPr>
              <w:color w:val="auto"/>
              <w:highlight w:val="none"/>
            </w:rPr>
            <w:fldChar w:fldCharType="begin"/>
          </w:r>
          <w:r>
            <w:rPr>
              <w:color w:val="auto"/>
              <w:highlight w:val="none"/>
            </w:rPr>
            <w:instrText xml:space="preserve"> PAGEREF _Toc2817 \h </w:instrText>
          </w:r>
          <w:r>
            <w:rPr>
              <w:color w:val="auto"/>
              <w:highlight w:val="none"/>
            </w:rPr>
            <w:fldChar w:fldCharType="separate"/>
          </w:r>
          <w:r>
            <w:rPr>
              <w:color w:val="auto"/>
              <w:highlight w:val="none"/>
            </w:rPr>
            <w:t>1</w:t>
          </w:r>
          <w:r>
            <w:rPr>
              <w:color w:val="auto"/>
              <w:highlight w:val="none"/>
            </w:rPr>
            <w:fldChar w:fldCharType="end"/>
          </w:r>
          <w:r>
            <w:rPr>
              <w:rFonts w:cs="Times New Roman"/>
              <w:color w:val="auto"/>
              <w:szCs w:val="32"/>
              <w:highlight w:val="none"/>
            </w:rPr>
            <w:fldChar w:fldCharType="end"/>
          </w:r>
        </w:p>
        <w:p>
          <w:pPr>
            <w:pStyle w:val="10"/>
            <w:tabs>
              <w:tab w:val="right" w:leader="dot" w:pos="8306"/>
            </w:tabs>
            <w:ind w:left="0" w:leftChars="0" w:firstLine="0" w:firstLineChars="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_Toc21522 </w:instrText>
          </w:r>
          <w:r>
            <w:rPr>
              <w:rFonts w:cs="Times New Roman"/>
              <w:bCs/>
              <w:color w:val="auto"/>
              <w:szCs w:val="32"/>
              <w:highlight w:val="none"/>
              <w:lang w:val="zh-CN"/>
            </w:rPr>
            <w:fldChar w:fldCharType="separate"/>
          </w:r>
          <w:r>
            <w:rPr>
              <w:rFonts w:hint="eastAsia" w:ascii="Times New Roman" w:hAnsi="Times New Roman" w:eastAsia="仿宋_GB2312" w:cs="Times New Roman"/>
              <w:color w:val="auto"/>
              <w:kern w:val="2"/>
              <w:szCs w:val="22"/>
              <w:highlight w:val="none"/>
              <w:lang w:val="en-US" w:eastAsia="zh-CN"/>
            </w:rPr>
            <w:t>2.任务来源及编制原则和依据</w:t>
          </w:r>
          <w:r>
            <w:rPr>
              <w:color w:val="auto"/>
              <w:highlight w:val="none"/>
            </w:rPr>
            <w:tab/>
          </w:r>
          <w:r>
            <w:rPr>
              <w:color w:val="auto"/>
              <w:highlight w:val="none"/>
            </w:rPr>
            <w:fldChar w:fldCharType="begin"/>
          </w:r>
          <w:r>
            <w:rPr>
              <w:color w:val="auto"/>
              <w:highlight w:val="none"/>
            </w:rPr>
            <w:instrText xml:space="preserve"> PAGEREF _Toc21522 \h </w:instrText>
          </w:r>
          <w:r>
            <w:rPr>
              <w:color w:val="auto"/>
              <w:highlight w:val="none"/>
            </w:rPr>
            <w:fldChar w:fldCharType="separate"/>
          </w:r>
          <w:r>
            <w:rPr>
              <w:color w:val="auto"/>
              <w:highlight w:val="none"/>
            </w:rPr>
            <w:t>4</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_Toc10948 </w:instrText>
          </w:r>
          <w:r>
            <w:rPr>
              <w:rFonts w:cs="Times New Roman"/>
              <w:bCs/>
              <w:color w:val="auto"/>
              <w:szCs w:val="32"/>
              <w:highlight w:val="none"/>
              <w:lang w:val="zh-CN"/>
            </w:rPr>
            <w:fldChar w:fldCharType="separate"/>
          </w:r>
          <w:r>
            <w:rPr>
              <w:rFonts w:eastAsia="仿宋_GB2312" w:cs="Times New Roman"/>
              <w:bCs/>
              <w:color w:val="auto"/>
              <w:szCs w:val="22"/>
              <w:highlight w:val="none"/>
            </w:rPr>
            <w:t>2.1</w:t>
          </w:r>
          <w:r>
            <w:rPr>
              <w:rFonts w:hint="eastAsia" w:eastAsia="仿宋_GB2312" w:cs="Times New Roman"/>
              <w:bCs/>
              <w:color w:val="auto"/>
              <w:szCs w:val="22"/>
              <w:highlight w:val="none"/>
              <w:lang w:val="en-US" w:eastAsia="zh-CN"/>
            </w:rPr>
            <w:t xml:space="preserve"> </w:t>
          </w:r>
          <w:r>
            <w:rPr>
              <w:rFonts w:eastAsia="仿宋_GB2312" w:cs="Times New Roman"/>
              <w:bCs/>
              <w:color w:val="auto"/>
              <w:szCs w:val="22"/>
              <w:highlight w:val="none"/>
            </w:rPr>
            <w:t>任务来源</w:t>
          </w:r>
          <w:r>
            <w:rPr>
              <w:color w:val="auto"/>
              <w:highlight w:val="none"/>
            </w:rPr>
            <w:tab/>
          </w:r>
          <w:r>
            <w:rPr>
              <w:color w:val="auto"/>
              <w:highlight w:val="none"/>
            </w:rPr>
            <w:fldChar w:fldCharType="begin"/>
          </w:r>
          <w:r>
            <w:rPr>
              <w:color w:val="auto"/>
              <w:highlight w:val="none"/>
            </w:rPr>
            <w:instrText xml:space="preserve"> PAGEREF _Toc10948 \h </w:instrText>
          </w:r>
          <w:r>
            <w:rPr>
              <w:color w:val="auto"/>
              <w:highlight w:val="none"/>
            </w:rPr>
            <w:fldChar w:fldCharType="separate"/>
          </w:r>
          <w:r>
            <w:rPr>
              <w:color w:val="auto"/>
              <w:highlight w:val="none"/>
            </w:rPr>
            <w:t>4</w:t>
          </w:r>
          <w:r>
            <w:rPr>
              <w:color w:val="auto"/>
              <w:highlight w:val="none"/>
            </w:rPr>
            <w:fldChar w:fldCharType="end"/>
          </w:r>
          <w:r>
            <w:rPr>
              <w:rFonts w:cs="Times New Roman"/>
              <w:bCs/>
              <w:color w:val="auto"/>
              <w:szCs w:val="32"/>
              <w:highlight w:val="none"/>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640" w:firstLineChars="200"/>
            <w:textAlignment w:val="auto"/>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_Toc7790 </w:instrText>
          </w:r>
          <w:r>
            <w:rPr>
              <w:rFonts w:cs="Times New Roman"/>
              <w:bCs/>
              <w:color w:val="auto"/>
              <w:szCs w:val="32"/>
              <w:highlight w:val="none"/>
              <w:lang w:val="zh-CN"/>
            </w:rPr>
            <w:fldChar w:fldCharType="separate"/>
          </w:r>
          <w:r>
            <w:rPr>
              <w:rFonts w:eastAsia="仿宋_GB2312" w:cs="Times New Roman"/>
              <w:bCs/>
              <w:color w:val="auto"/>
              <w:szCs w:val="22"/>
              <w:highlight w:val="none"/>
            </w:rPr>
            <w:t>2.2</w:t>
          </w:r>
          <w:r>
            <w:rPr>
              <w:rFonts w:hint="eastAsia" w:eastAsia="仿宋_GB2312" w:cs="Times New Roman"/>
              <w:bCs/>
              <w:color w:val="auto"/>
              <w:szCs w:val="22"/>
              <w:highlight w:val="none"/>
              <w:lang w:val="en-US" w:eastAsia="zh-CN"/>
            </w:rPr>
            <w:t xml:space="preserve"> </w:t>
          </w:r>
          <w:r>
            <w:rPr>
              <w:rFonts w:eastAsia="仿宋_GB2312" w:cs="Times New Roman"/>
              <w:bCs/>
              <w:color w:val="auto"/>
              <w:szCs w:val="22"/>
              <w:highlight w:val="none"/>
            </w:rPr>
            <w:t>编制原则</w:t>
          </w:r>
          <w:r>
            <w:rPr>
              <w:color w:val="auto"/>
              <w:highlight w:val="none"/>
            </w:rPr>
            <w:tab/>
          </w:r>
          <w:r>
            <w:rPr>
              <w:color w:val="auto"/>
              <w:highlight w:val="none"/>
            </w:rPr>
            <w:fldChar w:fldCharType="begin"/>
          </w:r>
          <w:r>
            <w:rPr>
              <w:color w:val="auto"/>
              <w:highlight w:val="none"/>
            </w:rPr>
            <w:instrText xml:space="preserve"> PAGEREF _Toc7790 \h </w:instrText>
          </w:r>
          <w:r>
            <w:rPr>
              <w:color w:val="auto"/>
              <w:highlight w:val="none"/>
            </w:rPr>
            <w:fldChar w:fldCharType="separate"/>
          </w:r>
          <w:r>
            <w:rPr>
              <w:color w:val="auto"/>
              <w:highlight w:val="none"/>
            </w:rPr>
            <w:t>4</w:t>
          </w:r>
          <w:r>
            <w:rPr>
              <w:color w:val="auto"/>
              <w:highlight w:val="none"/>
            </w:rPr>
            <w:fldChar w:fldCharType="end"/>
          </w:r>
          <w:r>
            <w:rPr>
              <w:rFonts w:cs="Times New Roman"/>
              <w:bCs/>
              <w:color w:val="auto"/>
              <w:szCs w:val="32"/>
              <w:highlight w:val="none"/>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640" w:firstLineChars="200"/>
            <w:textAlignment w:val="auto"/>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_Toc29659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2.3 编制依据</w:t>
          </w:r>
          <w:r>
            <w:rPr>
              <w:color w:val="auto"/>
              <w:highlight w:val="none"/>
            </w:rPr>
            <w:tab/>
          </w:r>
          <w:r>
            <w:rPr>
              <w:color w:val="auto"/>
              <w:highlight w:val="none"/>
            </w:rPr>
            <w:fldChar w:fldCharType="begin"/>
          </w:r>
          <w:r>
            <w:rPr>
              <w:color w:val="auto"/>
              <w:highlight w:val="none"/>
            </w:rPr>
            <w:instrText xml:space="preserve"> PAGEREF _Toc29659 \h </w:instrText>
          </w:r>
          <w:r>
            <w:rPr>
              <w:color w:val="auto"/>
              <w:highlight w:val="none"/>
            </w:rPr>
            <w:fldChar w:fldCharType="separate"/>
          </w:r>
          <w:r>
            <w:rPr>
              <w:color w:val="auto"/>
              <w:highlight w:val="none"/>
            </w:rPr>
            <w:t>6</w:t>
          </w:r>
          <w:r>
            <w:rPr>
              <w:color w:val="auto"/>
              <w:highlight w:val="none"/>
            </w:rPr>
            <w:fldChar w:fldCharType="end"/>
          </w:r>
          <w:r>
            <w:rPr>
              <w:rFonts w:cs="Times New Roman"/>
              <w:bCs/>
              <w:color w:val="auto"/>
              <w:szCs w:val="32"/>
              <w:highlight w:val="none"/>
              <w:lang w:val="zh-CN"/>
            </w:rPr>
            <w:fldChar w:fldCharType="end"/>
          </w:r>
        </w:p>
        <w:p>
          <w:pPr>
            <w:pStyle w:val="10"/>
            <w:tabs>
              <w:tab w:val="right" w:leader="dot" w:pos="8306"/>
            </w:tabs>
            <w:ind w:left="0" w:leftChars="0" w:firstLine="0" w:firstLineChars="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_Toc23369 </w:instrText>
          </w:r>
          <w:r>
            <w:rPr>
              <w:rFonts w:cs="Times New Roman"/>
              <w:bCs/>
              <w:color w:val="auto"/>
              <w:szCs w:val="32"/>
              <w:highlight w:val="none"/>
              <w:lang w:val="zh-CN"/>
            </w:rPr>
            <w:fldChar w:fldCharType="separate"/>
          </w:r>
          <w:r>
            <w:rPr>
              <w:rFonts w:hint="default" w:ascii="Times New Roman" w:hAnsi="Times New Roman" w:eastAsia="仿宋_GB2312" w:cs="Times New Roman"/>
              <w:color w:val="auto"/>
              <w:kern w:val="2"/>
              <w:szCs w:val="22"/>
              <w:highlight w:val="none"/>
              <w:lang w:val="en-US" w:eastAsia="zh-CN"/>
            </w:rPr>
            <w:t>3. 编制过程</w:t>
          </w:r>
          <w:r>
            <w:rPr>
              <w:color w:val="auto"/>
              <w:highlight w:val="none"/>
            </w:rPr>
            <w:tab/>
          </w:r>
          <w:r>
            <w:rPr>
              <w:color w:val="auto"/>
              <w:highlight w:val="none"/>
            </w:rPr>
            <w:fldChar w:fldCharType="begin"/>
          </w:r>
          <w:r>
            <w:rPr>
              <w:color w:val="auto"/>
              <w:highlight w:val="none"/>
            </w:rPr>
            <w:instrText xml:space="preserve"> PAGEREF _Toc23369 \h </w:instrText>
          </w:r>
          <w:r>
            <w:rPr>
              <w:color w:val="auto"/>
              <w:highlight w:val="none"/>
            </w:rPr>
            <w:fldChar w:fldCharType="separate"/>
          </w:r>
          <w:r>
            <w:rPr>
              <w:color w:val="auto"/>
              <w:highlight w:val="none"/>
            </w:rPr>
            <w:t>7</w:t>
          </w:r>
          <w:r>
            <w:rPr>
              <w:color w:val="auto"/>
              <w:highlight w:val="none"/>
            </w:rPr>
            <w:fldChar w:fldCharType="end"/>
          </w:r>
          <w:r>
            <w:rPr>
              <w:rFonts w:cs="Times New Roman"/>
              <w:bCs/>
              <w:color w:val="auto"/>
              <w:szCs w:val="32"/>
              <w:highlight w:val="none"/>
              <w:lang w:val="zh-CN"/>
            </w:rPr>
            <w:fldChar w:fldCharType="end"/>
          </w:r>
        </w:p>
        <w:p>
          <w:pPr>
            <w:pStyle w:val="10"/>
            <w:tabs>
              <w:tab w:val="right" w:leader="dot" w:pos="8306"/>
            </w:tabs>
            <w:ind w:left="0" w:leftChars="0" w:firstLine="0" w:firstLineChars="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_Toc17171 </w:instrText>
          </w:r>
          <w:r>
            <w:rPr>
              <w:rFonts w:cs="Times New Roman"/>
              <w:bCs/>
              <w:color w:val="auto"/>
              <w:szCs w:val="32"/>
              <w:highlight w:val="none"/>
              <w:lang w:val="zh-CN"/>
            </w:rPr>
            <w:fldChar w:fldCharType="separate"/>
          </w:r>
          <w:r>
            <w:rPr>
              <w:rFonts w:hint="default" w:ascii="Times New Roman" w:hAnsi="Times New Roman" w:eastAsia="仿宋_GB2312" w:cs="Times New Roman"/>
              <w:color w:val="auto"/>
              <w:kern w:val="2"/>
              <w:szCs w:val="22"/>
              <w:highlight w:val="none"/>
              <w:lang w:val="en-US" w:eastAsia="zh-CN"/>
            </w:rPr>
            <w:t>4.生活垃圾焚烧企业现状</w:t>
          </w:r>
          <w:r>
            <w:rPr>
              <w:color w:val="auto"/>
              <w:highlight w:val="none"/>
            </w:rPr>
            <w:tab/>
          </w:r>
          <w:r>
            <w:rPr>
              <w:color w:val="auto"/>
              <w:highlight w:val="none"/>
            </w:rPr>
            <w:fldChar w:fldCharType="begin"/>
          </w:r>
          <w:r>
            <w:rPr>
              <w:color w:val="auto"/>
              <w:highlight w:val="none"/>
            </w:rPr>
            <w:instrText xml:space="preserve"> PAGEREF _Toc17171 \h </w:instrText>
          </w:r>
          <w:r>
            <w:rPr>
              <w:color w:val="auto"/>
              <w:highlight w:val="none"/>
            </w:rPr>
            <w:fldChar w:fldCharType="separate"/>
          </w:r>
          <w:r>
            <w:rPr>
              <w:color w:val="auto"/>
              <w:highlight w:val="none"/>
            </w:rPr>
            <w:t>11</w:t>
          </w:r>
          <w:r>
            <w:rPr>
              <w:color w:val="auto"/>
              <w:highlight w:val="none"/>
            </w:rPr>
            <w:fldChar w:fldCharType="end"/>
          </w:r>
          <w:r>
            <w:rPr>
              <w:rFonts w:cs="Times New Roman"/>
              <w:bCs/>
              <w:color w:val="auto"/>
              <w:szCs w:val="32"/>
              <w:highlight w:val="none"/>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640" w:firstLineChars="200"/>
            <w:textAlignment w:val="auto"/>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_Toc29157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4.1</w:t>
          </w:r>
          <w:r>
            <w:rPr>
              <w:rFonts w:hint="eastAsia" w:eastAsia="仿宋_GB2312" w:cs="Times New Roman"/>
              <w:bCs/>
              <w:color w:val="auto"/>
              <w:szCs w:val="22"/>
              <w:highlight w:val="none"/>
              <w:lang w:val="en-US" w:eastAsia="zh-CN"/>
            </w:rPr>
            <w:t xml:space="preserve"> </w:t>
          </w:r>
          <w:r>
            <w:rPr>
              <w:rFonts w:ascii="Times New Roman" w:hAnsi="Times New Roman" w:eastAsia="仿宋_GB2312" w:cs="Times New Roman"/>
              <w:bCs/>
              <w:color w:val="auto"/>
              <w:szCs w:val="22"/>
              <w:highlight w:val="none"/>
            </w:rPr>
            <w:t>基本情况</w:t>
          </w:r>
          <w:r>
            <w:rPr>
              <w:color w:val="auto"/>
              <w:highlight w:val="none"/>
            </w:rPr>
            <w:tab/>
          </w:r>
          <w:r>
            <w:rPr>
              <w:color w:val="auto"/>
              <w:highlight w:val="none"/>
            </w:rPr>
            <w:fldChar w:fldCharType="begin"/>
          </w:r>
          <w:r>
            <w:rPr>
              <w:color w:val="auto"/>
              <w:highlight w:val="none"/>
            </w:rPr>
            <w:instrText xml:space="preserve"> PAGEREF _Toc29157 \h </w:instrText>
          </w:r>
          <w:r>
            <w:rPr>
              <w:color w:val="auto"/>
              <w:highlight w:val="none"/>
            </w:rPr>
            <w:fldChar w:fldCharType="separate"/>
          </w:r>
          <w:r>
            <w:rPr>
              <w:color w:val="auto"/>
              <w:highlight w:val="none"/>
            </w:rPr>
            <w:t>11</w:t>
          </w:r>
          <w:r>
            <w:rPr>
              <w:color w:val="auto"/>
              <w:highlight w:val="none"/>
            </w:rPr>
            <w:fldChar w:fldCharType="end"/>
          </w:r>
          <w:r>
            <w:rPr>
              <w:rFonts w:cs="Times New Roman"/>
              <w:bCs/>
              <w:color w:val="auto"/>
              <w:szCs w:val="32"/>
              <w:highlight w:val="none"/>
              <w:lang w:val="zh-CN"/>
            </w:rPr>
            <w:fldChar w:fldCharType="end"/>
          </w:r>
        </w:p>
        <w:p>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_Toc12688 </w:instrText>
          </w:r>
          <w:r>
            <w:rPr>
              <w:rFonts w:cs="Times New Roman"/>
              <w:bCs/>
              <w:color w:val="auto"/>
              <w:szCs w:val="32"/>
              <w:highlight w:val="none"/>
              <w:lang w:val="zh-CN"/>
            </w:rPr>
            <w:fldChar w:fldCharType="separate"/>
          </w:r>
          <w:r>
            <w:rPr>
              <w:rFonts w:eastAsia="仿宋_GB2312" w:cs="Times New Roman"/>
              <w:bCs/>
              <w:color w:val="auto"/>
              <w:szCs w:val="22"/>
              <w:highlight w:val="none"/>
            </w:rPr>
            <w:t>4.1.1</w:t>
          </w:r>
          <w:r>
            <w:rPr>
              <w:rFonts w:hint="eastAsia" w:eastAsia="仿宋_GB2312" w:cs="Times New Roman"/>
              <w:bCs/>
              <w:color w:val="auto"/>
              <w:szCs w:val="22"/>
              <w:highlight w:val="none"/>
              <w:lang w:val="en-US" w:eastAsia="zh-CN"/>
            </w:rPr>
            <w:t xml:space="preserve"> </w:t>
          </w:r>
          <w:r>
            <w:rPr>
              <w:rFonts w:eastAsia="仿宋_GB2312" w:cs="Times New Roman"/>
              <w:bCs/>
              <w:color w:val="auto"/>
              <w:szCs w:val="22"/>
              <w:highlight w:val="none"/>
            </w:rPr>
            <w:t>生产和分布状况</w:t>
          </w:r>
          <w:r>
            <w:rPr>
              <w:color w:val="auto"/>
              <w:highlight w:val="none"/>
            </w:rPr>
            <w:tab/>
          </w:r>
          <w:r>
            <w:rPr>
              <w:color w:val="auto"/>
              <w:highlight w:val="none"/>
            </w:rPr>
            <w:fldChar w:fldCharType="begin"/>
          </w:r>
          <w:r>
            <w:rPr>
              <w:color w:val="auto"/>
              <w:highlight w:val="none"/>
            </w:rPr>
            <w:instrText xml:space="preserve"> PAGEREF _Toc12688 \h </w:instrText>
          </w:r>
          <w:r>
            <w:rPr>
              <w:color w:val="auto"/>
              <w:highlight w:val="none"/>
            </w:rPr>
            <w:fldChar w:fldCharType="separate"/>
          </w:r>
          <w:r>
            <w:rPr>
              <w:color w:val="auto"/>
              <w:highlight w:val="none"/>
            </w:rPr>
            <w:t>11</w:t>
          </w:r>
          <w:r>
            <w:rPr>
              <w:color w:val="auto"/>
              <w:highlight w:val="none"/>
            </w:rPr>
            <w:fldChar w:fldCharType="end"/>
          </w:r>
          <w:r>
            <w:rPr>
              <w:rFonts w:cs="Times New Roman"/>
              <w:bCs/>
              <w:color w:val="auto"/>
              <w:szCs w:val="32"/>
              <w:highlight w:val="none"/>
              <w:lang w:val="zh-CN"/>
            </w:rPr>
            <w:fldChar w:fldCharType="end"/>
          </w:r>
        </w:p>
        <w:p>
          <w:pPr>
            <w:pStyle w:val="6"/>
            <w:tabs>
              <w:tab w:val="right" w:leader="dot" w:pos="8306"/>
            </w:tabs>
            <w:ind w:left="0" w:leftChars="0" w:firstLine="1280" w:firstLineChars="4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_Toc21022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lang w:val="zh-CN"/>
            </w:rPr>
            <w:t>4.1.2</w:t>
          </w:r>
          <w:r>
            <w:rPr>
              <w:rFonts w:hint="eastAsia" w:eastAsia="仿宋_GB2312" w:cs="Times New Roman"/>
              <w:bCs/>
              <w:color w:val="auto"/>
              <w:szCs w:val="22"/>
              <w:highlight w:val="none"/>
              <w:lang w:val="en-US" w:eastAsia="zh-CN"/>
            </w:rPr>
            <w:t xml:space="preserve"> </w:t>
          </w:r>
          <w:r>
            <w:rPr>
              <w:rFonts w:ascii="Times New Roman" w:hAnsi="Times New Roman" w:eastAsia="仿宋_GB2312" w:cs="Times New Roman"/>
              <w:bCs/>
              <w:color w:val="auto"/>
              <w:szCs w:val="22"/>
              <w:highlight w:val="none"/>
              <w:lang w:val="zh-CN"/>
            </w:rPr>
            <w:t>许可证核发情况</w:t>
          </w:r>
          <w:r>
            <w:rPr>
              <w:color w:val="auto"/>
              <w:highlight w:val="none"/>
            </w:rPr>
            <w:tab/>
          </w:r>
          <w:r>
            <w:rPr>
              <w:color w:val="auto"/>
              <w:highlight w:val="none"/>
            </w:rPr>
            <w:fldChar w:fldCharType="begin"/>
          </w:r>
          <w:r>
            <w:rPr>
              <w:color w:val="auto"/>
              <w:highlight w:val="none"/>
            </w:rPr>
            <w:instrText xml:space="preserve"> PAGEREF _Toc21022 \h </w:instrText>
          </w:r>
          <w:r>
            <w:rPr>
              <w:color w:val="auto"/>
              <w:highlight w:val="none"/>
            </w:rPr>
            <w:fldChar w:fldCharType="separate"/>
          </w:r>
          <w:r>
            <w:rPr>
              <w:color w:val="auto"/>
              <w:highlight w:val="none"/>
            </w:rPr>
            <w:t>13</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_Toc17910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4.2 污染治理现状</w:t>
          </w:r>
          <w:r>
            <w:rPr>
              <w:color w:val="auto"/>
              <w:highlight w:val="none"/>
            </w:rPr>
            <w:tab/>
          </w:r>
          <w:r>
            <w:rPr>
              <w:color w:val="auto"/>
              <w:highlight w:val="none"/>
            </w:rPr>
            <w:fldChar w:fldCharType="begin"/>
          </w:r>
          <w:r>
            <w:rPr>
              <w:color w:val="auto"/>
              <w:highlight w:val="none"/>
            </w:rPr>
            <w:instrText xml:space="preserve"> PAGEREF _Toc17910 \h </w:instrText>
          </w:r>
          <w:r>
            <w:rPr>
              <w:color w:val="auto"/>
              <w:highlight w:val="none"/>
            </w:rPr>
            <w:fldChar w:fldCharType="separate"/>
          </w:r>
          <w:r>
            <w:rPr>
              <w:color w:val="auto"/>
              <w:highlight w:val="none"/>
            </w:rPr>
            <w:t>14</w:t>
          </w:r>
          <w:r>
            <w:rPr>
              <w:color w:val="auto"/>
              <w:highlight w:val="none"/>
            </w:rPr>
            <w:fldChar w:fldCharType="end"/>
          </w:r>
          <w:r>
            <w:rPr>
              <w:rFonts w:cs="Times New Roman"/>
              <w:bCs/>
              <w:color w:val="auto"/>
              <w:szCs w:val="32"/>
              <w:highlight w:val="none"/>
              <w:lang w:val="zh-CN"/>
            </w:rPr>
            <w:fldChar w:fldCharType="end"/>
          </w:r>
        </w:p>
        <w:p>
          <w:pPr>
            <w:pStyle w:val="6"/>
            <w:tabs>
              <w:tab w:val="right" w:leader="dot" w:pos="8306"/>
            </w:tabs>
            <w:ind w:left="0" w:leftChars="0" w:firstLine="1280" w:firstLineChars="4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_Toc19798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lang w:val="zh-CN"/>
            </w:rPr>
            <w:t>4.2.1 生产工艺及产排污环节</w:t>
          </w:r>
          <w:r>
            <w:rPr>
              <w:color w:val="auto"/>
              <w:highlight w:val="none"/>
            </w:rPr>
            <w:tab/>
          </w:r>
          <w:r>
            <w:rPr>
              <w:color w:val="auto"/>
              <w:highlight w:val="none"/>
            </w:rPr>
            <w:fldChar w:fldCharType="begin"/>
          </w:r>
          <w:r>
            <w:rPr>
              <w:color w:val="auto"/>
              <w:highlight w:val="none"/>
            </w:rPr>
            <w:instrText xml:space="preserve"> PAGEREF _Toc19798 \h </w:instrText>
          </w:r>
          <w:r>
            <w:rPr>
              <w:color w:val="auto"/>
              <w:highlight w:val="none"/>
            </w:rPr>
            <w:fldChar w:fldCharType="separate"/>
          </w:r>
          <w:r>
            <w:rPr>
              <w:color w:val="auto"/>
              <w:highlight w:val="none"/>
            </w:rPr>
            <w:t>14</w:t>
          </w:r>
          <w:r>
            <w:rPr>
              <w:color w:val="auto"/>
              <w:highlight w:val="none"/>
            </w:rPr>
            <w:fldChar w:fldCharType="end"/>
          </w:r>
          <w:r>
            <w:rPr>
              <w:rFonts w:cs="Times New Roman"/>
              <w:bCs/>
              <w:color w:val="auto"/>
              <w:szCs w:val="32"/>
              <w:highlight w:val="none"/>
              <w:lang w:val="zh-CN"/>
            </w:rPr>
            <w:fldChar w:fldCharType="end"/>
          </w:r>
        </w:p>
        <w:p>
          <w:pPr>
            <w:pStyle w:val="6"/>
            <w:tabs>
              <w:tab w:val="right" w:leader="dot" w:pos="8306"/>
            </w:tabs>
            <w:ind w:left="0" w:leftChars="0" w:firstLine="1280" w:firstLineChars="4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_Toc9257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lang w:val="zh-CN"/>
            </w:rPr>
            <w:t>4.2.2 污染治理技术</w:t>
          </w:r>
          <w:r>
            <w:rPr>
              <w:color w:val="auto"/>
              <w:highlight w:val="none"/>
            </w:rPr>
            <w:tab/>
          </w:r>
          <w:r>
            <w:rPr>
              <w:color w:val="auto"/>
              <w:highlight w:val="none"/>
            </w:rPr>
            <w:fldChar w:fldCharType="begin"/>
          </w:r>
          <w:r>
            <w:rPr>
              <w:color w:val="auto"/>
              <w:highlight w:val="none"/>
            </w:rPr>
            <w:instrText xml:space="preserve"> PAGEREF _Toc9257 \h </w:instrText>
          </w:r>
          <w:r>
            <w:rPr>
              <w:color w:val="auto"/>
              <w:highlight w:val="none"/>
            </w:rPr>
            <w:fldChar w:fldCharType="separate"/>
          </w:r>
          <w:r>
            <w:rPr>
              <w:color w:val="auto"/>
              <w:highlight w:val="none"/>
            </w:rPr>
            <w:t>18</w:t>
          </w:r>
          <w:r>
            <w:rPr>
              <w:color w:val="auto"/>
              <w:highlight w:val="none"/>
            </w:rPr>
            <w:fldChar w:fldCharType="end"/>
          </w:r>
          <w:r>
            <w:rPr>
              <w:rFonts w:cs="Times New Roman"/>
              <w:bCs/>
              <w:color w:val="auto"/>
              <w:szCs w:val="32"/>
              <w:highlight w:val="none"/>
              <w:lang w:val="zh-CN"/>
            </w:rPr>
            <w:fldChar w:fldCharType="end"/>
          </w:r>
        </w:p>
        <w:p>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_Toc22473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lang w:val="zh-CN"/>
            </w:rPr>
            <w:t>4.2.3 河南省生活垃圾焚烧企业治理情况</w:t>
          </w:r>
          <w:r>
            <w:rPr>
              <w:color w:val="auto"/>
              <w:highlight w:val="none"/>
            </w:rPr>
            <w:tab/>
          </w:r>
          <w:r>
            <w:rPr>
              <w:color w:val="auto"/>
              <w:highlight w:val="none"/>
            </w:rPr>
            <w:fldChar w:fldCharType="begin"/>
          </w:r>
          <w:r>
            <w:rPr>
              <w:color w:val="auto"/>
              <w:highlight w:val="none"/>
            </w:rPr>
            <w:instrText xml:space="preserve"> PAGEREF _Toc22473 \h </w:instrText>
          </w:r>
          <w:r>
            <w:rPr>
              <w:color w:val="auto"/>
              <w:highlight w:val="none"/>
            </w:rPr>
            <w:fldChar w:fldCharType="separate"/>
          </w:r>
          <w:r>
            <w:rPr>
              <w:color w:val="auto"/>
              <w:highlight w:val="none"/>
            </w:rPr>
            <w:t>24</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_Toc22482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4.3</w:t>
          </w:r>
          <w:r>
            <w:rPr>
              <w:rFonts w:hint="eastAsia" w:eastAsia="仿宋_GB2312" w:cs="Times New Roman"/>
              <w:bCs/>
              <w:color w:val="auto"/>
              <w:szCs w:val="22"/>
              <w:highlight w:val="none"/>
              <w:lang w:val="en-US" w:eastAsia="zh-CN"/>
            </w:rPr>
            <w:t xml:space="preserve"> </w:t>
          </w:r>
          <w:r>
            <w:rPr>
              <w:rFonts w:ascii="Times New Roman" w:hAnsi="Times New Roman" w:eastAsia="仿宋_GB2312" w:cs="Times New Roman"/>
              <w:bCs/>
              <w:color w:val="auto"/>
              <w:szCs w:val="22"/>
              <w:highlight w:val="none"/>
            </w:rPr>
            <w:t>环境管理现状</w:t>
          </w:r>
          <w:r>
            <w:rPr>
              <w:color w:val="auto"/>
              <w:highlight w:val="none"/>
            </w:rPr>
            <w:tab/>
          </w:r>
          <w:r>
            <w:rPr>
              <w:color w:val="auto"/>
              <w:highlight w:val="none"/>
            </w:rPr>
            <w:fldChar w:fldCharType="begin"/>
          </w:r>
          <w:r>
            <w:rPr>
              <w:color w:val="auto"/>
              <w:highlight w:val="none"/>
            </w:rPr>
            <w:instrText xml:space="preserve"> PAGEREF _Toc22482 \h </w:instrText>
          </w:r>
          <w:r>
            <w:rPr>
              <w:color w:val="auto"/>
              <w:highlight w:val="none"/>
            </w:rPr>
            <w:fldChar w:fldCharType="separate"/>
          </w:r>
          <w:r>
            <w:rPr>
              <w:color w:val="auto"/>
              <w:highlight w:val="none"/>
            </w:rPr>
            <w:t>27</w:t>
          </w:r>
          <w:r>
            <w:rPr>
              <w:color w:val="auto"/>
              <w:highlight w:val="none"/>
            </w:rPr>
            <w:fldChar w:fldCharType="end"/>
          </w:r>
          <w:r>
            <w:rPr>
              <w:rFonts w:cs="Times New Roman"/>
              <w:bCs/>
              <w:color w:val="auto"/>
              <w:szCs w:val="32"/>
              <w:highlight w:val="none"/>
              <w:lang w:val="zh-CN"/>
            </w:rPr>
            <w:fldChar w:fldCharType="end"/>
          </w:r>
        </w:p>
        <w:p>
          <w:pPr>
            <w:pStyle w:val="6"/>
            <w:tabs>
              <w:tab w:val="right" w:leader="dot" w:pos="8306"/>
            </w:tabs>
            <w:ind w:left="0" w:leftChars="0" w:firstLine="1280" w:firstLineChars="4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_Toc32103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lang w:val="zh-CN"/>
            </w:rPr>
            <w:t>4.3.1 国家管理要求</w:t>
          </w:r>
          <w:r>
            <w:rPr>
              <w:color w:val="auto"/>
              <w:highlight w:val="none"/>
            </w:rPr>
            <w:tab/>
          </w:r>
          <w:r>
            <w:rPr>
              <w:color w:val="auto"/>
              <w:highlight w:val="none"/>
            </w:rPr>
            <w:fldChar w:fldCharType="begin"/>
          </w:r>
          <w:r>
            <w:rPr>
              <w:color w:val="auto"/>
              <w:highlight w:val="none"/>
            </w:rPr>
            <w:instrText xml:space="preserve"> PAGEREF _Toc32103 \h </w:instrText>
          </w:r>
          <w:r>
            <w:rPr>
              <w:color w:val="auto"/>
              <w:highlight w:val="none"/>
            </w:rPr>
            <w:fldChar w:fldCharType="separate"/>
          </w:r>
          <w:r>
            <w:rPr>
              <w:color w:val="auto"/>
              <w:highlight w:val="none"/>
            </w:rPr>
            <w:t>27</w:t>
          </w:r>
          <w:r>
            <w:rPr>
              <w:color w:val="auto"/>
              <w:highlight w:val="none"/>
            </w:rPr>
            <w:fldChar w:fldCharType="end"/>
          </w:r>
          <w:r>
            <w:rPr>
              <w:rFonts w:cs="Times New Roman"/>
              <w:bCs/>
              <w:color w:val="auto"/>
              <w:szCs w:val="32"/>
              <w:highlight w:val="none"/>
              <w:lang w:val="zh-CN"/>
            </w:rPr>
            <w:fldChar w:fldCharType="end"/>
          </w:r>
        </w:p>
        <w:p>
          <w:pPr>
            <w:pStyle w:val="6"/>
            <w:tabs>
              <w:tab w:val="right" w:leader="dot" w:pos="8306"/>
            </w:tabs>
            <w:ind w:left="0" w:leftChars="0" w:firstLine="1280" w:firstLineChars="4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_Toc30795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lang w:val="zh-CN"/>
            </w:rPr>
            <w:t>4.3.2 河南管理要求</w:t>
          </w:r>
          <w:r>
            <w:rPr>
              <w:color w:val="auto"/>
              <w:highlight w:val="none"/>
            </w:rPr>
            <w:tab/>
          </w:r>
          <w:r>
            <w:rPr>
              <w:color w:val="auto"/>
              <w:highlight w:val="none"/>
            </w:rPr>
            <w:fldChar w:fldCharType="begin"/>
          </w:r>
          <w:r>
            <w:rPr>
              <w:color w:val="auto"/>
              <w:highlight w:val="none"/>
            </w:rPr>
            <w:instrText xml:space="preserve"> PAGEREF _Toc30795 \h </w:instrText>
          </w:r>
          <w:r>
            <w:rPr>
              <w:color w:val="auto"/>
              <w:highlight w:val="none"/>
            </w:rPr>
            <w:fldChar w:fldCharType="separate"/>
          </w:r>
          <w:r>
            <w:rPr>
              <w:color w:val="auto"/>
              <w:highlight w:val="none"/>
            </w:rPr>
            <w:t>29</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_Toc28330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4.4废气污染物排放情况</w:t>
          </w:r>
          <w:r>
            <w:rPr>
              <w:color w:val="auto"/>
              <w:highlight w:val="none"/>
            </w:rPr>
            <w:tab/>
          </w:r>
          <w:r>
            <w:rPr>
              <w:color w:val="auto"/>
              <w:highlight w:val="none"/>
            </w:rPr>
            <w:fldChar w:fldCharType="begin"/>
          </w:r>
          <w:r>
            <w:rPr>
              <w:color w:val="auto"/>
              <w:highlight w:val="none"/>
            </w:rPr>
            <w:instrText xml:space="preserve"> PAGEREF _Toc28330 \h </w:instrText>
          </w:r>
          <w:r>
            <w:rPr>
              <w:color w:val="auto"/>
              <w:highlight w:val="none"/>
            </w:rPr>
            <w:fldChar w:fldCharType="separate"/>
          </w:r>
          <w:r>
            <w:rPr>
              <w:color w:val="auto"/>
              <w:highlight w:val="none"/>
            </w:rPr>
            <w:t>30</w:t>
          </w:r>
          <w:r>
            <w:rPr>
              <w:color w:val="auto"/>
              <w:highlight w:val="none"/>
            </w:rPr>
            <w:fldChar w:fldCharType="end"/>
          </w:r>
          <w:r>
            <w:rPr>
              <w:rFonts w:cs="Times New Roman"/>
              <w:bCs/>
              <w:color w:val="auto"/>
              <w:szCs w:val="32"/>
              <w:highlight w:val="none"/>
              <w:lang w:val="zh-CN"/>
            </w:rPr>
            <w:fldChar w:fldCharType="end"/>
          </w:r>
        </w:p>
        <w:p>
          <w:pPr>
            <w:pStyle w:val="6"/>
            <w:tabs>
              <w:tab w:val="right" w:leader="dot" w:pos="8306"/>
            </w:tabs>
            <w:ind w:left="0" w:leftChars="0" w:firstLine="1280" w:firstLineChars="4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_Toc6299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lang w:val="zh-CN"/>
            </w:rPr>
            <w:t>4.4.1废气污染物排放量</w:t>
          </w:r>
          <w:r>
            <w:rPr>
              <w:color w:val="auto"/>
              <w:highlight w:val="none"/>
            </w:rPr>
            <w:tab/>
          </w:r>
          <w:r>
            <w:rPr>
              <w:color w:val="auto"/>
              <w:highlight w:val="none"/>
            </w:rPr>
            <w:fldChar w:fldCharType="begin"/>
          </w:r>
          <w:r>
            <w:rPr>
              <w:color w:val="auto"/>
              <w:highlight w:val="none"/>
            </w:rPr>
            <w:instrText xml:space="preserve"> PAGEREF _Toc6299 \h </w:instrText>
          </w:r>
          <w:r>
            <w:rPr>
              <w:color w:val="auto"/>
              <w:highlight w:val="none"/>
            </w:rPr>
            <w:fldChar w:fldCharType="separate"/>
          </w:r>
          <w:r>
            <w:rPr>
              <w:color w:val="auto"/>
              <w:highlight w:val="none"/>
            </w:rPr>
            <w:t>30</w:t>
          </w:r>
          <w:r>
            <w:rPr>
              <w:color w:val="auto"/>
              <w:highlight w:val="none"/>
            </w:rPr>
            <w:fldChar w:fldCharType="end"/>
          </w:r>
          <w:r>
            <w:rPr>
              <w:rFonts w:cs="Times New Roman"/>
              <w:bCs/>
              <w:color w:val="auto"/>
              <w:szCs w:val="32"/>
              <w:highlight w:val="none"/>
              <w:lang w:val="zh-CN"/>
            </w:rPr>
            <w:fldChar w:fldCharType="end"/>
          </w:r>
        </w:p>
        <w:p>
          <w:pPr>
            <w:pStyle w:val="6"/>
            <w:tabs>
              <w:tab w:val="right" w:leader="dot" w:pos="8306"/>
            </w:tabs>
            <w:ind w:left="0" w:leftChars="0" w:firstLine="1280" w:firstLineChars="4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_Toc27912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lang w:val="zh-CN"/>
            </w:rPr>
            <w:t>4.4.2废气污染物排放浓度</w:t>
          </w:r>
          <w:r>
            <w:rPr>
              <w:color w:val="auto"/>
              <w:highlight w:val="none"/>
            </w:rPr>
            <w:tab/>
          </w:r>
          <w:r>
            <w:rPr>
              <w:color w:val="auto"/>
              <w:highlight w:val="none"/>
            </w:rPr>
            <w:fldChar w:fldCharType="begin"/>
          </w:r>
          <w:r>
            <w:rPr>
              <w:color w:val="auto"/>
              <w:highlight w:val="none"/>
            </w:rPr>
            <w:instrText xml:space="preserve"> PAGEREF _Toc27912 \h </w:instrText>
          </w:r>
          <w:r>
            <w:rPr>
              <w:color w:val="auto"/>
              <w:highlight w:val="none"/>
            </w:rPr>
            <w:fldChar w:fldCharType="separate"/>
          </w:r>
          <w:r>
            <w:rPr>
              <w:color w:val="auto"/>
              <w:highlight w:val="none"/>
            </w:rPr>
            <w:t>31</w:t>
          </w:r>
          <w:r>
            <w:rPr>
              <w:color w:val="auto"/>
              <w:highlight w:val="none"/>
            </w:rPr>
            <w:fldChar w:fldCharType="end"/>
          </w:r>
          <w:r>
            <w:rPr>
              <w:rFonts w:cs="Times New Roman"/>
              <w:bCs/>
              <w:color w:val="auto"/>
              <w:szCs w:val="32"/>
              <w:highlight w:val="none"/>
              <w:lang w:val="zh-CN"/>
            </w:rPr>
            <w:fldChar w:fldCharType="end"/>
          </w:r>
        </w:p>
        <w:p>
          <w:pPr>
            <w:pStyle w:val="10"/>
            <w:tabs>
              <w:tab w:val="right" w:leader="dot" w:pos="8306"/>
            </w:tabs>
            <w:ind w:left="0" w:leftChars="0" w:firstLine="0" w:firstLineChars="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_Toc19630 </w:instrText>
          </w:r>
          <w:r>
            <w:rPr>
              <w:rFonts w:cs="Times New Roman"/>
              <w:bCs/>
              <w:color w:val="auto"/>
              <w:szCs w:val="32"/>
              <w:highlight w:val="none"/>
              <w:lang w:val="zh-CN"/>
            </w:rPr>
            <w:fldChar w:fldCharType="separate"/>
          </w:r>
          <w:r>
            <w:rPr>
              <w:rFonts w:hint="default" w:ascii="Times New Roman" w:hAnsi="Times New Roman" w:eastAsia="仿宋_GB2312" w:cs="Times New Roman"/>
              <w:color w:val="auto"/>
              <w:kern w:val="2"/>
              <w:szCs w:val="22"/>
              <w:highlight w:val="none"/>
              <w:lang w:val="en-US" w:eastAsia="zh-CN"/>
            </w:rPr>
            <w:t>5. 标准的主要内容</w:t>
          </w:r>
          <w:r>
            <w:rPr>
              <w:color w:val="auto"/>
              <w:highlight w:val="none"/>
            </w:rPr>
            <w:tab/>
          </w:r>
          <w:r>
            <w:rPr>
              <w:color w:val="auto"/>
              <w:highlight w:val="none"/>
            </w:rPr>
            <w:fldChar w:fldCharType="begin"/>
          </w:r>
          <w:r>
            <w:rPr>
              <w:color w:val="auto"/>
              <w:highlight w:val="none"/>
            </w:rPr>
            <w:instrText xml:space="preserve"> PAGEREF _Toc19630 \h </w:instrText>
          </w:r>
          <w:r>
            <w:rPr>
              <w:color w:val="auto"/>
              <w:highlight w:val="none"/>
            </w:rPr>
            <w:fldChar w:fldCharType="separate"/>
          </w:r>
          <w:r>
            <w:rPr>
              <w:color w:val="auto"/>
              <w:highlight w:val="none"/>
            </w:rPr>
            <w:t>32</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_Toc23528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5.1</w:t>
          </w:r>
          <w:r>
            <w:rPr>
              <w:rFonts w:hint="eastAsia" w:eastAsia="仿宋_GB2312" w:cs="Times New Roman"/>
              <w:bCs/>
              <w:color w:val="auto"/>
              <w:szCs w:val="22"/>
              <w:highlight w:val="none"/>
              <w:lang w:val="en-US" w:eastAsia="zh-CN"/>
            </w:rPr>
            <w:t xml:space="preserve"> </w:t>
          </w:r>
          <w:r>
            <w:rPr>
              <w:rFonts w:ascii="Times New Roman" w:hAnsi="Times New Roman" w:eastAsia="仿宋_GB2312" w:cs="Times New Roman"/>
              <w:bCs/>
              <w:color w:val="auto"/>
              <w:szCs w:val="22"/>
              <w:highlight w:val="none"/>
            </w:rPr>
            <w:t>适用范围确定</w:t>
          </w:r>
          <w:r>
            <w:rPr>
              <w:color w:val="auto"/>
              <w:highlight w:val="none"/>
            </w:rPr>
            <w:tab/>
          </w:r>
          <w:r>
            <w:rPr>
              <w:color w:val="auto"/>
              <w:highlight w:val="none"/>
            </w:rPr>
            <w:fldChar w:fldCharType="begin"/>
          </w:r>
          <w:r>
            <w:rPr>
              <w:color w:val="auto"/>
              <w:highlight w:val="none"/>
            </w:rPr>
            <w:instrText xml:space="preserve"> PAGEREF _Toc23528 \h </w:instrText>
          </w:r>
          <w:r>
            <w:rPr>
              <w:color w:val="auto"/>
              <w:highlight w:val="none"/>
            </w:rPr>
            <w:fldChar w:fldCharType="separate"/>
          </w:r>
          <w:r>
            <w:rPr>
              <w:color w:val="auto"/>
              <w:highlight w:val="none"/>
            </w:rPr>
            <w:t>33</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_Toc5355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5.</w:t>
          </w:r>
          <w:r>
            <w:rPr>
              <w:rFonts w:hint="eastAsia" w:eastAsia="仿宋_GB2312" w:cs="Times New Roman"/>
              <w:bCs/>
              <w:color w:val="auto"/>
              <w:szCs w:val="22"/>
              <w:highlight w:val="none"/>
              <w:lang w:val="en-US" w:eastAsia="zh-CN"/>
            </w:rPr>
            <w:t xml:space="preserve">2 </w:t>
          </w:r>
          <w:r>
            <w:rPr>
              <w:rFonts w:ascii="Times New Roman" w:hAnsi="Times New Roman" w:eastAsia="仿宋_GB2312" w:cs="Times New Roman"/>
              <w:bCs/>
              <w:color w:val="auto"/>
              <w:szCs w:val="22"/>
              <w:highlight w:val="none"/>
            </w:rPr>
            <w:t>术语与定义确定</w:t>
          </w:r>
          <w:r>
            <w:rPr>
              <w:color w:val="auto"/>
              <w:highlight w:val="none"/>
            </w:rPr>
            <w:tab/>
          </w:r>
          <w:r>
            <w:rPr>
              <w:color w:val="auto"/>
              <w:highlight w:val="none"/>
            </w:rPr>
            <w:fldChar w:fldCharType="begin"/>
          </w:r>
          <w:r>
            <w:rPr>
              <w:color w:val="auto"/>
              <w:highlight w:val="none"/>
            </w:rPr>
            <w:instrText xml:space="preserve"> PAGEREF _Toc5355 \h </w:instrText>
          </w:r>
          <w:r>
            <w:rPr>
              <w:color w:val="auto"/>
              <w:highlight w:val="none"/>
            </w:rPr>
            <w:fldChar w:fldCharType="separate"/>
          </w:r>
          <w:r>
            <w:rPr>
              <w:color w:val="auto"/>
              <w:highlight w:val="none"/>
            </w:rPr>
            <w:t>33</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_Toc8769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5.</w:t>
          </w:r>
          <w:r>
            <w:rPr>
              <w:rFonts w:hint="eastAsia" w:eastAsia="仿宋_GB2312" w:cs="Times New Roman"/>
              <w:bCs/>
              <w:color w:val="auto"/>
              <w:szCs w:val="22"/>
              <w:highlight w:val="none"/>
              <w:lang w:val="en-US" w:eastAsia="zh-CN"/>
            </w:rPr>
            <w:t xml:space="preserve">3 </w:t>
          </w:r>
          <w:r>
            <w:rPr>
              <w:rFonts w:ascii="Times New Roman" w:hAnsi="Times New Roman" w:eastAsia="仿宋_GB2312" w:cs="Times New Roman"/>
              <w:bCs/>
              <w:color w:val="auto"/>
              <w:szCs w:val="22"/>
              <w:highlight w:val="none"/>
            </w:rPr>
            <w:t>规范性引用文件确定</w:t>
          </w:r>
          <w:r>
            <w:rPr>
              <w:color w:val="auto"/>
              <w:highlight w:val="none"/>
            </w:rPr>
            <w:tab/>
          </w:r>
          <w:r>
            <w:rPr>
              <w:color w:val="auto"/>
              <w:highlight w:val="none"/>
            </w:rPr>
            <w:fldChar w:fldCharType="begin"/>
          </w:r>
          <w:r>
            <w:rPr>
              <w:color w:val="auto"/>
              <w:highlight w:val="none"/>
            </w:rPr>
            <w:instrText xml:space="preserve"> PAGEREF _Toc8769 \h </w:instrText>
          </w:r>
          <w:r>
            <w:rPr>
              <w:color w:val="auto"/>
              <w:highlight w:val="none"/>
            </w:rPr>
            <w:fldChar w:fldCharType="separate"/>
          </w:r>
          <w:r>
            <w:rPr>
              <w:color w:val="auto"/>
              <w:highlight w:val="none"/>
            </w:rPr>
            <w:t>34</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_Toc19409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5.4</w:t>
          </w:r>
          <w:r>
            <w:rPr>
              <w:rFonts w:hint="eastAsia" w:eastAsia="仿宋_GB2312" w:cs="Times New Roman"/>
              <w:bCs/>
              <w:color w:val="auto"/>
              <w:szCs w:val="22"/>
              <w:highlight w:val="none"/>
              <w:lang w:val="en-US" w:eastAsia="zh-CN"/>
            </w:rPr>
            <w:t xml:space="preserve"> </w:t>
          </w:r>
          <w:r>
            <w:rPr>
              <w:rFonts w:ascii="Times New Roman" w:hAnsi="Times New Roman" w:eastAsia="仿宋_GB2312" w:cs="Times New Roman"/>
              <w:bCs/>
              <w:color w:val="auto"/>
              <w:szCs w:val="22"/>
              <w:highlight w:val="none"/>
            </w:rPr>
            <w:t>大气污染物排放控制要求确定</w:t>
          </w:r>
          <w:r>
            <w:rPr>
              <w:color w:val="auto"/>
              <w:highlight w:val="none"/>
            </w:rPr>
            <w:tab/>
          </w:r>
          <w:r>
            <w:rPr>
              <w:color w:val="auto"/>
              <w:highlight w:val="none"/>
            </w:rPr>
            <w:fldChar w:fldCharType="begin"/>
          </w:r>
          <w:r>
            <w:rPr>
              <w:color w:val="auto"/>
              <w:highlight w:val="none"/>
            </w:rPr>
            <w:instrText xml:space="preserve"> PAGEREF _Toc19409 \h </w:instrText>
          </w:r>
          <w:r>
            <w:rPr>
              <w:color w:val="auto"/>
              <w:highlight w:val="none"/>
            </w:rPr>
            <w:fldChar w:fldCharType="separate"/>
          </w:r>
          <w:r>
            <w:rPr>
              <w:color w:val="auto"/>
              <w:highlight w:val="none"/>
            </w:rPr>
            <w:t>36</w:t>
          </w:r>
          <w:r>
            <w:rPr>
              <w:color w:val="auto"/>
              <w:highlight w:val="none"/>
            </w:rPr>
            <w:fldChar w:fldCharType="end"/>
          </w:r>
          <w:r>
            <w:rPr>
              <w:rFonts w:cs="Times New Roman"/>
              <w:bCs/>
              <w:color w:val="auto"/>
              <w:szCs w:val="32"/>
              <w:highlight w:val="none"/>
              <w:lang w:val="zh-CN"/>
            </w:rPr>
            <w:fldChar w:fldCharType="end"/>
          </w:r>
        </w:p>
        <w:p>
          <w:pPr>
            <w:pStyle w:val="6"/>
            <w:tabs>
              <w:tab w:val="right" w:leader="dot" w:pos="8306"/>
            </w:tabs>
            <w:ind w:left="0" w:leftChars="0" w:firstLine="1280" w:firstLineChars="4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_Toc10840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lang w:val="zh-CN"/>
            </w:rPr>
            <w:t>5.4.1大气污染物控制因子确定</w:t>
          </w:r>
          <w:r>
            <w:rPr>
              <w:color w:val="auto"/>
              <w:highlight w:val="none"/>
            </w:rPr>
            <w:tab/>
          </w:r>
          <w:r>
            <w:rPr>
              <w:color w:val="auto"/>
              <w:highlight w:val="none"/>
            </w:rPr>
            <w:fldChar w:fldCharType="begin"/>
          </w:r>
          <w:r>
            <w:rPr>
              <w:color w:val="auto"/>
              <w:highlight w:val="none"/>
            </w:rPr>
            <w:instrText xml:space="preserve"> PAGEREF _Toc10840 \h </w:instrText>
          </w:r>
          <w:r>
            <w:rPr>
              <w:color w:val="auto"/>
              <w:highlight w:val="none"/>
            </w:rPr>
            <w:fldChar w:fldCharType="separate"/>
          </w:r>
          <w:r>
            <w:rPr>
              <w:color w:val="auto"/>
              <w:highlight w:val="none"/>
            </w:rPr>
            <w:t>36</w:t>
          </w:r>
          <w:r>
            <w:rPr>
              <w:color w:val="auto"/>
              <w:highlight w:val="none"/>
            </w:rPr>
            <w:fldChar w:fldCharType="end"/>
          </w:r>
          <w:r>
            <w:rPr>
              <w:rFonts w:cs="Times New Roman"/>
              <w:bCs/>
              <w:color w:val="auto"/>
              <w:szCs w:val="32"/>
              <w:highlight w:val="none"/>
              <w:lang w:val="zh-CN"/>
            </w:rPr>
            <w:fldChar w:fldCharType="end"/>
          </w:r>
        </w:p>
        <w:p>
          <w:pPr>
            <w:pStyle w:val="6"/>
            <w:tabs>
              <w:tab w:val="right" w:leader="dot" w:pos="8306"/>
            </w:tabs>
            <w:ind w:left="0" w:leftChars="0" w:firstLine="1280" w:firstLineChars="4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_Toc19793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lang w:val="zh-CN"/>
            </w:rPr>
            <w:t>5.4.2 有组织大气污染物排放限值确定</w:t>
          </w:r>
          <w:r>
            <w:rPr>
              <w:color w:val="auto"/>
              <w:highlight w:val="none"/>
            </w:rPr>
            <w:tab/>
          </w:r>
          <w:r>
            <w:rPr>
              <w:color w:val="auto"/>
              <w:highlight w:val="none"/>
            </w:rPr>
            <w:fldChar w:fldCharType="begin"/>
          </w:r>
          <w:r>
            <w:rPr>
              <w:color w:val="auto"/>
              <w:highlight w:val="none"/>
            </w:rPr>
            <w:instrText xml:space="preserve"> PAGEREF _Toc19793 \h </w:instrText>
          </w:r>
          <w:r>
            <w:rPr>
              <w:color w:val="auto"/>
              <w:highlight w:val="none"/>
            </w:rPr>
            <w:fldChar w:fldCharType="separate"/>
          </w:r>
          <w:r>
            <w:rPr>
              <w:color w:val="auto"/>
              <w:highlight w:val="none"/>
            </w:rPr>
            <w:t>37</w:t>
          </w:r>
          <w:r>
            <w:rPr>
              <w:color w:val="auto"/>
              <w:highlight w:val="none"/>
            </w:rPr>
            <w:fldChar w:fldCharType="end"/>
          </w:r>
          <w:r>
            <w:rPr>
              <w:rFonts w:cs="Times New Roman"/>
              <w:bCs/>
              <w:color w:val="auto"/>
              <w:szCs w:val="32"/>
              <w:highlight w:val="none"/>
              <w:lang w:val="zh-CN"/>
            </w:rPr>
            <w:fldChar w:fldCharType="end"/>
          </w:r>
        </w:p>
        <w:p>
          <w:pPr>
            <w:pStyle w:val="6"/>
            <w:tabs>
              <w:tab w:val="right" w:leader="dot" w:pos="8306"/>
            </w:tabs>
            <w:ind w:left="0" w:leftChars="0" w:firstLine="1280" w:firstLineChars="4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_Toc30766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lang w:val="zh-CN"/>
            </w:rPr>
            <w:t>5.4.3 非正常工况及无组织排放规定</w:t>
          </w:r>
          <w:r>
            <w:rPr>
              <w:color w:val="auto"/>
              <w:highlight w:val="none"/>
            </w:rPr>
            <w:tab/>
          </w:r>
          <w:r>
            <w:rPr>
              <w:color w:val="auto"/>
              <w:highlight w:val="none"/>
            </w:rPr>
            <w:fldChar w:fldCharType="begin"/>
          </w:r>
          <w:r>
            <w:rPr>
              <w:color w:val="auto"/>
              <w:highlight w:val="none"/>
            </w:rPr>
            <w:instrText xml:space="preserve"> PAGEREF _Toc30766 \h </w:instrText>
          </w:r>
          <w:r>
            <w:rPr>
              <w:color w:val="auto"/>
              <w:highlight w:val="none"/>
            </w:rPr>
            <w:fldChar w:fldCharType="separate"/>
          </w:r>
          <w:r>
            <w:rPr>
              <w:color w:val="auto"/>
              <w:highlight w:val="none"/>
            </w:rPr>
            <w:t>48</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_Toc3564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5.5</w:t>
          </w:r>
          <w:r>
            <w:rPr>
              <w:rFonts w:hint="eastAsia" w:eastAsia="仿宋_GB2312" w:cs="Times New Roman"/>
              <w:bCs/>
              <w:color w:val="auto"/>
              <w:szCs w:val="22"/>
              <w:highlight w:val="none"/>
              <w:lang w:val="en-US" w:eastAsia="zh-CN"/>
            </w:rPr>
            <w:t xml:space="preserve"> </w:t>
          </w:r>
          <w:r>
            <w:rPr>
              <w:rFonts w:ascii="Times New Roman" w:hAnsi="Times New Roman" w:eastAsia="仿宋_GB2312" w:cs="Times New Roman"/>
              <w:bCs/>
              <w:color w:val="auto"/>
              <w:szCs w:val="22"/>
              <w:highlight w:val="none"/>
            </w:rPr>
            <w:t>其他控制要求</w:t>
          </w:r>
          <w:r>
            <w:rPr>
              <w:color w:val="auto"/>
              <w:highlight w:val="none"/>
            </w:rPr>
            <w:tab/>
          </w:r>
          <w:r>
            <w:rPr>
              <w:color w:val="auto"/>
              <w:highlight w:val="none"/>
            </w:rPr>
            <w:fldChar w:fldCharType="begin"/>
          </w:r>
          <w:r>
            <w:rPr>
              <w:color w:val="auto"/>
              <w:highlight w:val="none"/>
            </w:rPr>
            <w:instrText xml:space="preserve"> PAGEREF _Toc3564 \h </w:instrText>
          </w:r>
          <w:r>
            <w:rPr>
              <w:color w:val="auto"/>
              <w:highlight w:val="none"/>
            </w:rPr>
            <w:fldChar w:fldCharType="separate"/>
          </w:r>
          <w:r>
            <w:rPr>
              <w:color w:val="auto"/>
              <w:highlight w:val="none"/>
            </w:rPr>
            <w:t>49</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_Toc21664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5.6</w:t>
          </w:r>
          <w:r>
            <w:rPr>
              <w:rFonts w:hint="eastAsia" w:eastAsia="仿宋_GB2312" w:cs="Times New Roman"/>
              <w:bCs/>
              <w:color w:val="auto"/>
              <w:szCs w:val="22"/>
              <w:highlight w:val="none"/>
              <w:lang w:val="en-US" w:eastAsia="zh-CN"/>
            </w:rPr>
            <w:t xml:space="preserve"> </w:t>
          </w:r>
          <w:r>
            <w:rPr>
              <w:rFonts w:ascii="Times New Roman" w:hAnsi="Times New Roman" w:eastAsia="仿宋_GB2312" w:cs="Times New Roman"/>
              <w:bCs/>
              <w:color w:val="auto"/>
              <w:szCs w:val="22"/>
              <w:highlight w:val="none"/>
            </w:rPr>
            <w:t>污染物监测要求</w:t>
          </w:r>
          <w:r>
            <w:rPr>
              <w:color w:val="auto"/>
              <w:highlight w:val="none"/>
            </w:rPr>
            <w:tab/>
          </w:r>
          <w:r>
            <w:rPr>
              <w:color w:val="auto"/>
              <w:highlight w:val="none"/>
            </w:rPr>
            <w:fldChar w:fldCharType="begin"/>
          </w:r>
          <w:r>
            <w:rPr>
              <w:color w:val="auto"/>
              <w:highlight w:val="none"/>
            </w:rPr>
            <w:instrText xml:space="preserve"> PAGEREF _Toc21664 \h </w:instrText>
          </w:r>
          <w:r>
            <w:rPr>
              <w:color w:val="auto"/>
              <w:highlight w:val="none"/>
            </w:rPr>
            <w:fldChar w:fldCharType="separate"/>
          </w:r>
          <w:r>
            <w:rPr>
              <w:color w:val="auto"/>
              <w:highlight w:val="none"/>
            </w:rPr>
            <w:t>51</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_Toc18411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5.</w:t>
          </w:r>
          <w:r>
            <w:rPr>
              <w:rFonts w:hint="eastAsia" w:eastAsia="仿宋_GB2312" w:cs="Times New Roman"/>
              <w:bCs/>
              <w:color w:val="auto"/>
              <w:szCs w:val="22"/>
              <w:highlight w:val="none"/>
              <w:lang w:val="en-US" w:eastAsia="zh-CN"/>
            </w:rPr>
            <w:t xml:space="preserve">7 </w:t>
          </w:r>
          <w:r>
            <w:rPr>
              <w:rFonts w:ascii="Times New Roman" w:hAnsi="Times New Roman" w:eastAsia="仿宋_GB2312" w:cs="Times New Roman"/>
              <w:bCs/>
              <w:color w:val="auto"/>
              <w:szCs w:val="22"/>
              <w:highlight w:val="none"/>
            </w:rPr>
            <w:t>标准实施与监督</w:t>
          </w:r>
          <w:r>
            <w:rPr>
              <w:color w:val="auto"/>
              <w:highlight w:val="none"/>
            </w:rPr>
            <w:tab/>
          </w:r>
          <w:r>
            <w:rPr>
              <w:color w:val="auto"/>
              <w:highlight w:val="none"/>
            </w:rPr>
            <w:fldChar w:fldCharType="begin"/>
          </w:r>
          <w:r>
            <w:rPr>
              <w:color w:val="auto"/>
              <w:highlight w:val="none"/>
            </w:rPr>
            <w:instrText xml:space="preserve"> PAGEREF _Toc18411 \h </w:instrText>
          </w:r>
          <w:r>
            <w:rPr>
              <w:color w:val="auto"/>
              <w:highlight w:val="none"/>
            </w:rPr>
            <w:fldChar w:fldCharType="separate"/>
          </w:r>
          <w:r>
            <w:rPr>
              <w:color w:val="auto"/>
              <w:highlight w:val="none"/>
            </w:rPr>
            <w:t>51</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_Toc14920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5.</w:t>
          </w:r>
          <w:r>
            <w:rPr>
              <w:rFonts w:hint="eastAsia" w:eastAsia="仿宋_GB2312" w:cs="Times New Roman"/>
              <w:bCs/>
              <w:color w:val="auto"/>
              <w:szCs w:val="22"/>
              <w:highlight w:val="none"/>
              <w:lang w:val="en-US" w:eastAsia="zh-CN"/>
            </w:rPr>
            <w:t>8</w:t>
          </w:r>
          <w:r>
            <w:rPr>
              <w:rFonts w:ascii="Times New Roman" w:hAnsi="Times New Roman" w:eastAsia="仿宋_GB2312" w:cs="Times New Roman"/>
              <w:bCs/>
              <w:color w:val="auto"/>
              <w:szCs w:val="22"/>
              <w:highlight w:val="none"/>
            </w:rPr>
            <w:t>本标准与国家、其他省份标准控制水平对比</w:t>
          </w:r>
          <w:r>
            <w:rPr>
              <w:color w:val="auto"/>
              <w:highlight w:val="none"/>
            </w:rPr>
            <w:tab/>
          </w:r>
          <w:r>
            <w:rPr>
              <w:color w:val="auto"/>
              <w:highlight w:val="none"/>
            </w:rPr>
            <w:fldChar w:fldCharType="begin"/>
          </w:r>
          <w:r>
            <w:rPr>
              <w:color w:val="auto"/>
              <w:highlight w:val="none"/>
            </w:rPr>
            <w:instrText xml:space="preserve"> PAGEREF _Toc14920 \h </w:instrText>
          </w:r>
          <w:r>
            <w:rPr>
              <w:color w:val="auto"/>
              <w:highlight w:val="none"/>
            </w:rPr>
            <w:fldChar w:fldCharType="separate"/>
          </w:r>
          <w:r>
            <w:rPr>
              <w:color w:val="auto"/>
              <w:highlight w:val="none"/>
            </w:rPr>
            <w:t>52</w:t>
          </w:r>
          <w:r>
            <w:rPr>
              <w:color w:val="auto"/>
              <w:highlight w:val="none"/>
            </w:rPr>
            <w:fldChar w:fldCharType="end"/>
          </w:r>
          <w:r>
            <w:rPr>
              <w:rFonts w:cs="Times New Roman"/>
              <w:bCs/>
              <w:color w:val="auto"/>
              <w:szCs w:val="32"/>
              <w:highlight w:val="none"/>
              <w:lang w:val="zh-CN"/>
            </w:rPr>
            <w:fldChar w:fldCharType="end"/>
          </w:r>
        </w:p>
        <w:p>
          <w:pPr>
            <w:pStyle w:val="10"/>
            <w:tabs>
              <w:tab w:val="right" w:leader="dot" w:pos="8306"/>
            </w:tabs>
            <w:ind w:left="0" w:leftChars="0" w:firstLine="0" w:firstLineChars="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_Toc22311 </w:instrText>
          </w:r>
          <w:r>
            <w:rPr>
              <w:rFonts w:cs="Times New Roman"/>
              <w:bCs/>
              <w:color w:val="auto"/>
              <w:szCs w:val="32"/>
              <w:highlight w:val="none"/>
              <w:lang w:val="zh-CN"/>
            </w:rPr>
            <w:fldChar w:fldCharType="separate"/>
          </w:r>
          <w:r>
            <w:rPr>
              <w:rFonts w:hint="default" w:ascii="Times New Roman" w:hAnsi="Times New Roman" w:eastAsia="仿宋_GB2312" w:cs="Times New Roman"/>
              <w:color w:val="auto"/>
              <w:kern w:val="2"/>
              <w:szCs w:val="22"/>
              <w:highlight w:val="none"/>
              <w:lang w:val="en-US" w:eastAsia="zh-CN"/>
            </w:rPr>
            <w:t>6.重大意见分歧处理</w:t>
          </w:r>
          <w:r>
            <w:rPr>
              <w:color w:val="auto"/>
              <w:highlight w:val="none"/>
            </w:rPr>
            <w:tab/>
          </w:r>
          <w:r>
            <w:rPr>
              <w:color w:val="auto"/>
              <w:highlight w:val="none"/>
            </w:rPr>
            <w:fldChar w:fldCharType="begin"/>
          </w:r>
          <w:r>
            <w:rPr>
              <w:color w:val="auto"/>
              <w:highlight w:val="none"/>
            </w:rPr>
            <w:instrText xml:space="preserve"> PAGEREF _Toc22311 \h </w:instrText>
          </w:r>
          <w:r>
            <w:rPr>
              <w:color w:val="auto"/>
              <w:highlight w:val="none"/>
            </w:rPr>
            <w:fldChar w:fldCharType="separate"/>
          </w:r>
          <w:r>
            <w:rPr>
              <w:color w:val="auto"/>
              <w:highlight w:val="none"/>
            </w:rPr>
            <w:t>56</w:t>
          </w:r>
          <w:r>
            <w:rPr>
              <w:color w:val="auto"/>
              <w:highlight w:val="none"/>
            </w:rPr>
            <w:fldChar w:fldCharType="end"/>
          </w:r>
          <w:r>
            <w:rPr>
              <w:rFonts w:cs="Times New Roman"/>
              <w:bCs/>
              <w:color w:val="auto"/>
              <w:szCs w:val="32"/>
              <w:highlight w:val="none"/>
              <w:lang w:val="zh-CN"/>
            </w:rPr>
            <w:fldChar w:fldCharType="end"/>
          </w:r>
        </w:p>
        <w:p>
          <w:pPr>
            <w:pStyle w:val="10"/>
            <w:tabs>
              <w:tab w:val="right" w:leader="dot" w:pos="8306"/>
            </w:tabs>
            <w:ind w:left="0" w:leftChars="0" w:firstLine="0" w:firstLineChars="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_Toc23196 </w:instrText>
          </w:r>
          <w:r>
            <w:rPr>
              <w:rFonts w:cs="Times New Roman"/>
              <w:bCs/>
              <w:color w:val="auto"/>
              <w:szCs w:val="32"/>
              <w:highlight w:val="none"/>
              <w:lang w:val="zh-CN"/>
            </w:rPr>
            <w:fldChar w:fldCharType="separate"/>
          </w:r>
          <w:r>
            <w:rPr>
              <w:rFonts w:hint="default" w:ascii="Times New Roman" w:hAnsi="Times New Roman" w:eastAsia="仿宋_GB2312" w:cs="Times New Roman"/>
              <w:color w:val="auto"/>
              <w:kern w:val="2"/>
              <w:szCs w:val="22"/>
              <w:highlight w:val="none"/>
              <w:lang w:val="en-US" w:eastAsia="zh-CN"/>
            </w:rPr>
            <w:t>7.与国家法律法规和强制性标准的关系</w:t>
          </w:r>
          <w:r>
            <w:rPr>
              <w:color w:val="auto"/>
              <w:highlight w:val="none"/>
            </w:rPr>
            <w:tab/>
          </w:r>
          <w:r>
            <w:rPr>
              <w:color w:val="auto"/>
              <w:highlight w:val="none"/>
            </w:rPr>
            <w:fldChar w:fldCharType="begin"/>
          </w:r>
          <w:r>
            <w:rPr>
              <w:color w:val="auto"/>
              <w:highlight w:val="none"/>
            </w:rPr>
            <w:instrText xml:space="preserve"> PAGEREF _Toc23196 \h </w:instrText>
          </w:r>
          <w:r>
            <w:rPr>
              <w:color w:val="auto"/>
              <w:highlight w:val="none"/>
            </w:rPr>
            <w:fldChar w:fldCharType="separate"/>
          </w:r>
          <w:r>
            <w:rPr>
              <w:color w:val="auto"/>
              <w:highlight w:val="none"/>
            </w:rPr>
            <w:t>58</w:t>
          </w:r>
          <w:r>
            <w:rPr>
              <w:color w:val="auto"/>
              <w:highlight w:val="none"/>
            </w:rPr>
            <w:fldChar w:fldCharType="end"/>
          </w:r>
          <w:r>
            <w:rPr>
              <w:rFonts w:cs="Times New Roman"/>
              <w:bCs/>
              <w:color w:val="auto"/>
              <w:szCs w:val="32"/>
              <w:highlight w:val="none"/>
              <w:lang w:val="zh-CN"/>
            </w:rPr>
            <w:fldChar w:fldCharType="end"/>
          </w:r>
        </w:p>
        <w:p>
          <w:pPr>
            <w:pStyle w:val="10"/>
            <w:tabs>
              <w:tab w:val="right" w:leader="dot" w:pos="8306"/>
            </w:tabs>
            <w:ind w:left="0" w:leftChars="0" w:firstLine="0" w:firstLineChars="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_Toc24631 </w:instrText>
          </w:r>
          <w:r>
            <w:rPr>
              <w:rFonts w:cs="Times New Roman"/>
              <w:bCs/>
              <w:color w:val="auto"/>
              <w:szCs w:val="32"/>
              <w:highlight w:val="none"/>
              <w:lang w:val="zh-CN"/>
            </w:rPr>
            <w:fldChar w:fldCharType="separate"/>
          </w:r>
          <w:r>
            <w:rPr>
              <w:rFonts w:hint="eastAsia" w:ascii="Times New Roman" w:hAnsi="Times New Roman" w:eastAsia="仿宋_GB2312" w:cs="Times New Roman"/>
              <w:color w:val="auto"/>
              <w:kern w:val="2"/>
              <w:szCs w:val="22"/>
              <w:highlight w:val="none"/>
              <w:lang w:val="en-US" w:eastAsia="zh-CN"/>
            </w:rPr>
            <w:t>8.</w:t>
          </w:r>
          <w:r>
            <w:rPr>
              <w:rFonts w:hint="default" w:ascii="Times New Roman" w:hAnsi="Times New Roman" w:eastAsia="仿宋_GB2312" w:cs="Times New Roman"/>
              <w:color w:val="auto"/>
              <w:kern w:val="2"/>
              <w:szCs w:val="22"/>
              <w:highlight w:val="none"/>
              <w:lang w:val="en-US" w:eastAsia="zh-CN"/>
            </w:rPr>
            <w:t>标准实施可行性、环境及经济效益分析</w:t>
          </w:r>
          <w:r>
            <w:rPr>
              <w:color w:val="auto"/>
              <w:highlight w:val="none"/>
            </w:rPr>
            <w:tab/>
          </w:r>
          <w:r>
            <w:rPr>
              <w:color w:val="auto"/>
              <w:highlight w:val="none"/>
            </w:rPr>
            <w:fldChar w:fldCharType="begin"/>
          </w:r>
          <w:r>
            <w:rPr>
              <w:color w:val="auto"/>
              <w:highlight w:val="none"/>
            </w:rPr>
            <w:instrText xml:space="preserve"> PAGEREF _Toc24631 \h </w:instrText>
          </w:r>
          <w:r>
            <w:rPr>
              <w:color w:val="auto"/>
              <w:highlight w:val="none"/>
            </w:rPr>
            <w:fldChar w:fldCharType="separate"/>
          </w:r>
          <w:r>
            <w:rPr>
              <w:color w:val="auto"/>
              <w:highlight w:val="none"/>
            </w:rPr>
            <w:t>59</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_Toc1253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8.1</w:t>
          </w:r>
          <w:r>
            <w:rPr>
              <w:rFonts w:hint="eastAsia" w:ascii="Times New Roman" w:hAnsi="Times New Roman" w:eastAsia="仿宋_GB2312" w:cs="Times New Roman"/>
              <w:bCs/>
              <w:color w:val="auto"/>
              <w:szCs w:val="22"/>
              <w:highlight w:val="none"/>
              <w:lang w:val="en-US" w:eastAsia="zh-CN"/>
            </w:rPr>
            <w:t xml:space="preserve"> </w:t>
          </w:r>
          <w:r>
            <w:rPr>
              <w:rFonts w:ascii="Times New Roman" w:hAnsi="Times New Roman" w:eastAsia="仿宋_GB2312" w:cs="Times New Roman"/>
              <w:bCs/>
              <w:color w:val="auto"/>
              <w:szCs w:val="22"/>
              <w:highlight w:val="none"/>
            </w:rPr>
            <w:t>标准实施的可行性分析</w:t>
          </w:r>
          <w:r>
            <w:rPr>
              <w:color w:val="auto"/>
              <w:highlight w:val="none"/>
            </w:rPr>
            <w:tab/>
          </w:r>
          <w:r>
            <w:rPr>
              <w:color w:val="auto"/>
              <w:highlight w:val="none"/>
            </w:rPr>
            <w:fldChar w:fldCharType="begin"/>
          </w:r>
          <w:r>
            <w:rPr>
              <w:color w:val="auto"/>
              <w:highlight w:val="none"/>
            </w:rPr>
            <w:instrText xml:space="preserve"> PAGEREF _Toc1253 \h </w:instrText>
          </w:r>
          <w:r>
            <w:rPr>
              <w:color w:val="auto"/>
              <w:highlight w:val="none"/>
            </w:rPr>
            <w:fldChar w:fldCharType="separate"/>
          </w:r>
          <w:r>
            <w:rPr>
              <w:color w:val="auto"/>
              <w:highlight w:val="none"/>
            </w:rPr>
            <w:t>59</w:t>
          </w:r>
          <w:r>
            <w:rPr>
              <w:color w:val="auto"/>
              <w:highlight w:val="none"/>
            </w:rPr>
            <w:fldChar w:fldCharType="end"/>
          </w:r>
          <w:r>
            <w:rPr>
              <w:rFonts w:cs="Times New Roman"/>
              <w:bCs/>
              <w:color w:val="auto"/>
              <w:szCs w:val="32"/>
              <w:highlight w:val="none"/>
              <w:lang w:val="zh-CN"/>
            </w:rPr>
            <w:fldChar w:fldCharType="end"/>
          </w:r>
        </w:p>
        <w:p>
          <w:pPr>
            <w:pStyle w:val="6"/>
            <w:tabs>
              <w:tab w:val="right" w:leader="dot" w:pos="8306"/>
            </w:tabs>
            <w:ind w:left="0" w:leftChars="0" w:firstLine="1280" w:firstLineChars="4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_Toc1545 </w:instrText>
          </w:r>
          <w:r>
            <w:rPr>
              <w:rFonts w:cs="Times New Roman"/>
              <w:bCs/>
              <w:color w:val="auto"/>
              <w:szCs w:val="32"/>
              <w:highlight w:val="none"/>
              <w:lang w:val="zh-CN"/>
            </w:rPr>
            <w:fldChar w:fldCharType="separate"/>
          </w:r>
          <w:r>
            <w:rPr>
              <w:rFonts w:eastAsia="仿宋_GB2312" w:cs="Times New Roman"/>
              <w:bCs/>
              <w:color w:val="auto"/>
              <w:szCs w:val="22"/>
              <w:highlight w:val="none"/>
            </w:rPr>
            <w:t>8.1.1技术可行性分析</w:t>
          </w:r>
          <w:r>
            <w:rPr>
              <w:color w:val="auto"/>
              <w:highlight w:val="none"/>
            </w:rPr>
            <w:tab/>
          </w:r>
          <w:r>
            <w:rPr>
              <w:color w:val="auto"/>
              <w:highlight w:val="none"/>
            </w:rPr>
            <w:fldChar w:fldCharType="begin"/>
          </w:r>
          <w:r>
            <w:rPr>
              <w:color w:val="auto"/>
              <w:highlight w:val="none"/>
            </w:rPr>
            <w:instrText xml:space="preserve"> PAGEREF _Toc1545 \h </w:instrText>
          </w:r>
          <w:r>
            <w:rPr>
              <w:color w:val="auto"/>
              <w:highlight w:val="none"/>
            </w:rPr>
            <w:fldChar w:fldCharType="separate"/>
          </w:r>
          <w:r>
            <w:rPr>
              <w:color w:val="auto"/>
              <w:highlight w:val="none"/>
            </w:rPr>
            <w:t>59</w:t>
          </w:r>
          <w:r>
            <w:rPr>
              <w:color w:val="auto"/>
              <w:highlight w:val="none"/>
            </w:rPr>
            <w:fldChar w:fldCharType="end"/>
          </w:r>
          <w:r>
            <w:rPr>
              <w:rFonts w:cs="Times New Roman"/>
              <w:bCs/>
              <w:color w:val="auto"/>
              <w:szCs w:val="32"/>
              <w:highlight w:val="none"/>
              <w:lang w:val="zh-CN"/>
            </w:rPr>
            <w:fldChar w:fldCharType="end"/>
          </w:r>
        </w:p>
        <w:p>
          <w:pPr>
            <w:pStyle w:val="6"/>
            <w:tabs>
              <w:tab w:val="right" w:leader="dot" w:pos="8306"/>
            </w:tabs>
            <w:ind w:left="0" w:leftChars="0" w:firstLine="1280" w:firstLineChars="4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_Toc17920 </w:instrText>
          </w:r>
          <w:r>
            <w:rPr>
              <w:rFonts w:cs="Times New Roman"/>
              <w:bCs/>
              <w:color w:val="auto"/>
              <w:szCs w:val="32"/>
              <w:highlight w:val="none"/>
              <w:lang w:val="zh-CN"/>
            </w:rPr>
            <w:fldChar w:fldCharType="separate"/>
          </w:r>
          <w:r>
            <w:rPr>
              <w:rFonts w:eastAsia="仿宋_GB2312" w:cs="Times New Roman"/>
              <w:bCs/>
              <w:color w:val="auto"/>
              <w:szCs w:val="22"/>
              <w:highlight w:val="none"/>
            </w:rPr>
            <w:t>8.1.2经济可行性分析</w:t>
          </w:r>
          <w:r>
            <w:rPr>
              <w:color w:val="auto"/>
              <w:highlight w:val="none"/>
            </w:rPr>
            <w:tab/>
          </w:r>
          <w:r>
            <w:rPr>
              <w:color w:val="auto"/>
              <w:highlight w:val="none"/>
            </w:rPr>
            <w:fldChar w:fldCharType="begin"/>
          </w:r>
          <w:r>
            <w:rPr>
              <w:color w:val="auto"/>
              <w:highlight w:val="none"/>
            </w:rPr>
            <w:instrText xml:space="preserve"> PAGEREF _Toc17920 \h </w:instrText>
          </w:r>
          <w:r>
            <w:rPr>
              <w:color w:val="auto"/>
              <w:highlight w:val="none"/>
            </w:rPr>
            <w:fldChar w:fldCharType="separate"/>
          </w:r>
          <w:r>
            <w:rPr>
              <w:color w:val="auto"/>
              <w:highlight w:val="none"/>
            </w:rPr>
            <w:t>59</w:t>
          </w:r>
          <w:r>
            <w:rPr>
              <w:color w:val="auto"/>
              <w:highlight w:val="none"/>
            </w:rPr>
            <w:fldChar w:fldCharType="end"/>
          </w:r>
          <w:r>
            <w:rPr>
              <w:rFonts w:cs="Times New Roman"/>
              <w:bCs/>
              <w:color w:val="auto"/>
              <w:szCs w:val="32"/>
              <w:highlight w:val="none"/>
              <w:lang w:val="zh-CN"/>
            </w:rPr>
            <w:fldChar w:fldCharType="end"/>
          </w:r>
        </w:p>
        <w:p>
          <w:pPr>
            <w:pStyle w:val="11"/>
            <w:tabs>
              <w:tab w:val="right" w:leader="dot" w:pos="8306"/>
            </w:tabs>
            <w:ind w:left="0" w:leftChars="0" w:firstLine="640" w:firstLineChars="20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_Toc18726 </w:instrText>
          </w:r>
          <w:r>
            <w:rPr>
              <w:rFonts w:cs="Times New Roman"/>
              <w:bCs/>
              <w:color w:val="auto"/>
              <w:szCs w:val="32"/>
              <w:highlight w:val="none"/>
              <w:lang w:val="zh-CN"/>
            </w:rPr>
            <w:fldChar w:fldCharType="separate"/>
          </w:r>
          <w:r>
            <w:rPr>
              <w:rFonts w:ascii="Times New Roman" w:hAnsi="Times New Roman" w:eastAsia="仿宋_GB2312" w:cs="Times New Roman"/>
              <w:bCs/>
              <w:color w:val="auto"/>
              <w:szCs w:val="22"/>
              <w:highlight w:val="none"/>
            </w:rPr>
            <w:t>8.2预期效益分析</w:t>
          </w:r>
          <w:r>
            <w:rPr>
              <w:color w:val="auto"/>
              <w:highlight w:val="none"/>
            </w:rPr>
            <w:tab/>
          </w:r>
          <w:r>
            <w:rPr>
              <w:color w:val="auto"/>
              <w:highlight w:val="none"/>
            </w:rPr>
            <w:fldChar w:fldCharType="begin"/>
          </w:r>
          <w:r>
            <w:rPr>
              <w:color w:val="auto"/>
              <w:highlight w:val="none"/>
            </w:rPr>
            <w:instrText xml:space="preserve"> PAGEREF _Toc18726 \h </w:instrText>
          </w:r>
          <w:r>
            <w:rPr>
              <w:color w:val="auto"/>
              <w:highlight w:val="none"/>
            </w:rPr>
            <w:fldChar w:fldCharType="separate"/>
          </w:r>
          <w:r>
            <w:rPr>
              <w:color w:val="auto"/>
              <w:highlight w:val="none"/>
            </w:rPr>
            <w:t>62</w:t>
          </w:r>
          <w:r>
            <w:rPr>
              <w:color w:val="auto"/>
              <w:highlight w:val="none"/>
            </w:rPr>
            <w:fldChar w:fldCharType="end"/>
          </w:r>
          <w:r>
            <w:rPr>
              <w:rFonts w:cs="Times New Roman"/>
              <w:bCs/>
              <w:color w:val="auto"/>
              <w:szCs w:val="32"/>
              <w:highlight w:val="none"/>
              <w:lang w:val="zh-CN"/>
            </w:rPr>
            <w:fldChar w:fldCharType="end"/>
          </w:r>
        </w:p>
        <w:p>
          <w:pPr>
            <w:pStyle w:val="10"/>
            <w:tabs>
              <w:tab w:val="right" w:leader="dot" w:pos="8306"/>
            </w:tabs>
            <w:ind w:left="0" w:leftChars="0" w:firstLine="0" w:firstLineChars="0"/>
            <w:rPr>
              <w:color w:val="auto"/>
              <w:highlight w:val="none"/>
            </w:rPr>
          </w:pPr>
          <w:r>
            <w:rPr>
              <w:rFonts w:cs="Times New Roman"/>
              <w:bCs/>
              <w:color w:val="auto"/>
              <w:szCs w:val="32"/>
              <w:highlight w:val="none"/>
              <w:lang w:val="zh-CN"/>
            </w:rPr>
            <w:fldChar w:fldCharType="begin"/>
          </w:r>
          <w:r>
            <w:rPr>
              <w:rFonts w:cs="Times New Roman"/>
              <w:bCs/>
              <w:color w:val="auto"/>
              <w:szCs w:val="32"/>
              <w:highlight w:val="none"/>
              <w:lang w:val="zh-CN"/>
            </w:rPr>
            <w:instrText xml:space="preserve"> HYPERLINK \l _Toc3843 </w:instrText>
          </w:r>
          <w:r>
            <w:rPr>
              <w:rFonts w:cs="Times New Roman"/>
              <w:bCs/>
              <w:color w:val="auto"/>
              <w:szCs w:val="32"/>
              <w:highlight w:val="none"/>
              <w:lang w:val="zh-CN"/>
            </w:rPr>
            <w:fldChar w:fldCharType="separate"/>
          </w:r>
          <w:r>
            <w:rPr>
              <w:rFonts w:hint="default" w:ascii="Times New Roman" w:hAnsi="Times New Roman" w:eastAsia="仿宋_GB2312" w:cs="Times New Roman"/>
              <w:color w:val="auto"/>
              <w:kern w:val="2"/>
              <w:szCs w:val="22"/>
              <w:highlight w:val="none"/>
              <w:lang w:val="en-US" w:eastAsia="zh-CN"/>
            </w:rPr>
            <w:t>9.标准实施的建议</w:t>
          </w:r>
          <w:r>
            <w:rPr>
              <w:color w:val="auto"/>
              <w:highlight w:val="none"/>
            </w:rPr>
            <w:tab/>
          </w:r>
          <w:r>
            <w:rPr>
              <w:color w:val="auto"/>
              <w:highlight w:val="none"/>
            </w:rPr>
            <w:fldChar w:fldCharType="begin"/>
          </w:r>
          <w:r>
            <w:rPr>
              <w:color w:val="auto"/>
              <w:highlight w:val="none"/>
            </w:rPr>
            <w:instrText xml:space="preserve"> PAGEREF _Toc3843 \h </w:instrText>
          </w:r>
          <w:r>
            <w:rPr>
              <w:color w:val="auto"/>
              <w:highlight w:val="none"/>
            </w:rPr>
            <w:fldChar w:fldCharType="separate"/>
          </w:r>
          <w:r>
            <w:rPr>
              <w:color w:val="auto"/>
              <w:highlight w:val="none"/>
            </w:rPr>
            <w:t>63</w:t>
          </w:r>
          <w:r>
            <w:rPr>
              <w:color w:val="auto"/>
              <w:highlight w:val="none"/>
            </w:rPr>
            <w:fldChar w:fldCharType="end"/>
          </w:r>
          <w:r>
            <w:rPr>
              <w:rFonts w:cs="Times New Roman"/>
              <w:bCs/>
              <w:color w:val="auto"/>
              <w:szCs w:val="32"/>
              <w:highlight w:val="none"/>
              <w:lang w:val="zh-CN"/>
            </w:rPr>
            <w:fldChar w:fldCharType="end"/>
          </w:r>
        </w:p>
        <w:p>
          <w:pPr>
            <w:ind w:firstLine="640"/>
            <w:rPr>
              <w:rFonts w:cs="Times New Roman"/>
              <w:color w:val="auto"/>
              <w:sz w:val="28"/>
              <w:szCs w:val="28"/>
              <w:highlight w:val="none"/>
            </w:rPr>
          </w:pPr>
          <w:r>
            <w:rPr>
              <w:rFonts w:cs="Times New Roman"/>
              <w:bCs/>
              <w:color w:val="auto"/>
              <w:szCs w:val="32"/>
              <w:highlight w:val="none"/>
              <w:lang w:val="zh-CN"/>
            </w:rPr>
            <w:fldChar w:fldCharType="end"/>
          </w:r>
        </w:p>
      </w:sdtContent>
    </w:sdt>
    <w:p>
      <w:pPr>
        <w:autoSpaceDE w:val="0"/>
        <w:autoSpaceDN w:val="0"/>
        <w:adjustRightInd w:val="0"/>
        <w:ind w:firstLine="800" w:firstLineChars="249"/>
        <w:rPr>
          <w:rFonts w:cs="Times New Roman"/>
          <w:b/>
          <w:color w:val="auto"/>
          <w:kern w:val="0"/>
          <w:szCs w:val="32"/>
          <w:highlight w:val="none"/>
        </w:rPr>
      </w:pPr>
    </w:p>
    <w:p>
      <w:pPr>
        <w:autoSpaceDE w:val="0"/>
        <w:autoSpaceDN w:val="0"/>
        <w:adjustRightInd w:val="0"/>
        <w:ind w:firstLine="800" w:firstLineChars="249"/>
        <w:rPr>
          <w:rFonts w:cs="Times New Roman"/>
          <w:b/>
          <w:color w:val="auto"/>
          <w:kern w:val="0"/>
          <w:szCs w:val="32"/>
          <w:highlight w:val="none"/>
        </w:rPr>
        <w:sectPr>
          <w:footerReference r:id="rId11" w:type="default"/>
          <w:pgSz w:w="11906" w:h="16838"/>
          <w:pgMar w:top="1440" w:right="1800" w:bottom="1440" w:left="1800" w:header="851" w:footer="992" w:gutter="0"/>
          <w:pgNumType w:fmt="upperRoman" w:start="1"/>
          <w:cols w:space="425" w:num="1"/>
          <w:docGrid w:type="lines" w:linePitch="312" w:charSpace="0"/>
        </w:sectPr>
      </w:pPr>
    </w:p>
    <w:p>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仿宋_GB2312" w:cs="Times New Roman"/>
          <w:color w:val="auto"/>
          <w:kern w:val="2"/>
          <w:szCs w:val="22"/>
          <w:highlight w:val="none"/>
          <w:lang w:val="en-US" w:eastAsia="zh-CN"/>
        </w:rPr>
      </w:pPr>
      <w:bookmarkStart w:id="1" w:name="_Toc2817"/>
      <w:r>
        <w:rPr>
          <w:rFonts w:hint="eastAsia" w:ascii="Times New Roman" w:hAnsi="Times New Roman" w:eastAsia="仿宋_GB2312" w:cs="Times New Roman"/>
          <w:color w:val="auto"/>
          <w:kern w:val="2"/>
          <w:szCs w:val="22"/>
          <w:highlight w:val="none"/>
          <w:lang w:val="en-US" w:eastAsia="zh-CN"/>
        </w:rPr>
        <w:t>1.</w:t>
      </w:r>
      <w:r>
        <w:rPr>
          <w:rFonts w:hint="default" w:ascii="Times New Roman" w:hAnsi="Times New Roman" w:eastAsia="仿宋_GB2312" w:cs="Times New Roman"/>
          <w:color w:val="auto"/>
          <w:kern w:val="2"/>
          <w:szCs w:val="22"/>
          <w:highlight w:val="none"/>
          <w:lang w:val="en-US" w:eastAsia="zh-CN"/>
        </w:rPr>
        <w:t>编制的目的和意义</w:t>
      </w:r>
      <w:bookmarkEnd w:id="1"/>
    </w:p>
    <w:p>
      <w:pPr>
        <w:spacing w:line="360" w:lineRule="auto"/>
        <w:ind w:firstLine="643" w:firstLineChars="200"/>
        <w:rPr>
          <w:rFonts w:cs="Times New Roman"/>
          <w:b/>
          <w:bCs/>
          <w:color w:val="auto"/>
          <w:highlight w:val="none"/>
        </w:rPr>
      </w:pPr>
      <w:r>
        <w:rPr>
          <w:rFonts w:cs="Times New Roman"/>
          <w:b/>
          <w:bCs/>
          <w:color w:val="auto"/>
          <w:highlight w:val="none"/>
        </w:rPr>
        <w:t>（1）改善我省环境空气质量的需要</w:t>
      </w:r>
    </w:p>
    <w:p>
      <w:pPr>
        <w:ind w:firstLine="640"/>
        <w:rPr>
          <w:rFonts w:cs="Times New Roman"/>
          <w:color w:val="auto"/>
          <w:highlight w:val="none"/>
        </w:rPr>
      </w:pPr>
      <w:bookmarkStart w:id="2" w:name="_Hlk120011465"/>
      <w:r>
        <w:rPr>
          <w:rFonts w:cs="Times New Roman"/>
          <w:color w:val="auto"/>
          <w:szCs w:val="32"/>
          <w:highlight w:val="none"/>
        </w:rPr>
        <w:t>根据《河南省生活垃圾焚烧发电中长期专项规划（2018</w:t>
      </w:r>
      <w:r>
        <w:rPr>
          <w:rFonts w:hint="eastAsia" w:cs="Times New Roman"/>
          <w:color w:val="auto"/>
          <w:szCs w:val="32"/>
          <w:highlight w:val="none"/>
          <w:lang w:eastAsia="zh-CN"/>
        </w:rPr>
        <w:t>—</w:t>
      </w:r>
      <w:r>
        <w:rPr>
          <w:rFonts w:cs="Times New Roman"/>
          <w:color w:val="auto"/>
          <w:szCs w:val="32"/>
          <w:highlight w:val="none"/>
        </w:rPr>
        <w:t>2030年）》，到2030年，河南省</w:t>
      </w:r>
      <w:r>
        <w:rPr>
          <w:rFonts w:hint="eastAsia" w:cs="Times New Roman"/>
          <w:color w:val="auto"/>
          <w:szCs w:val="32"/>
          <w:highlight w:val="none"/>
          <w:lang w:val="en-US" w:eastAsia="zh-CN"/>
        </w:rPr>
        <w:t>将</w:t>
      </w:r>
      <w:r>
        <w:rPr>
          <w:rFonts w:cs="Times New Roman"/>
          <w:color w:val="auto"/>
          <w:szCs w:val="32"/>
          <w:highlight w:val="none"/>
        </w:rPr>
        <w:t>形成以焚烧发电为主的生活垃圾无害化处理体系，具备条件的省辖市实现原生垃圾“零填埋”，</w:t>
      </w:r>
      <w:r>
        <w:rPr>
          <w:rFonts w:hint="eastAsia" w:cs="Times New Roman"/>
          <w:color w:val="auto"/>
          <w:szCs w:val="32"/>
          <w:highlight w:val="none"/>
          <w:lang w:val="en-US" w:eastAsia="zh-CN"/>
        </w:rPr>
        <w:t>届时，</w:t>
      </w:r>
      <w:r>
        <w:rPr>
          <w:rFonts w:cs="Times New Roman"/>
          <w:color w:val="auto"/>
          <w:szCs w:val="32"/>
          <w:highlight w:val="none"/>
        </w:rPr>
        <w:t>河南省生活垃圾焚烧处理能力达到8.4万吨/日左右，总装机规模约160万千瓦，垃圾焚烧处理能力占垃圾无害化处理能力比例达到70%左右。目前，全省已建成</w:t>
      </w:r>
      <w:r>
        <w:rPr>
          <w:rFonts w:hint="eastAsia" w:cs="Times New Roman"/>
          <w:color w:val="auto"/>
          <w:szCs w:val="32"/>
          <w:highlight w:val="none"/>
          <w:lang w:val="en-US" w:eastAsia="zh-CN"/>
        </w:rPr>
        <w:t>运行</w:t>
      </w:r>
      <w:r>
        <w:rPr>
          <w:rFonts w:cs="Times New Roman"/>
          <w:color w:val="auto"/>
          <w:szCs w:val="32"/>
          <w:highlight w:val="none"/>
        </w:rPr>
        <w:t>生活垃圾焚烧企业64家，总设计处理规模为6.597万吨/日，实际处理规模为6.447万吨/日。</w:t>
      </w:r>
    </w:p>
    <w:p>
      <w:pPr>
        <w:ind w:firstLine="640"/>
        <w:rPr>
          <w:rFonts w:cs="Times New Roman"/>
          <w:color w:val="auto"/>
          <w:highlight w:val="none"/>
        </w:rPr>
      </w:pPr>
      <w:r>
        <w:rPr>
          <w:rFonts w:cs="Times New Roman"/>
          <w:color w:val="auto"/>
          <w:highlight w:val="none"/>
        </w:rPr>
        <w:t>近年来，随着生活垃圾焚烧企业的陆续建成投运，全省生活垃圾焚烧企业大气污染物排放量呈逐年上升趋势，给</w:t>
      </w:r>
      <w:r>
        <w:rPr>
          <w:rFonts w:hint="eastAsia" w:cs="Times New Roman"/>
          <w:color w:val="auto"/>
          <w:highlight w:val="none"/>
          <w:lang w:val="en-US" w:eastAsia="zh-CN"/>
        </w:rPr>
        <w:t>我省</w:t>
      </w:r>
      <w:r>
        <w:rPr>
          <w:rFonts w:cs="Times New Roman"/>
          <w:color w:val="auto"/>
          <w:highlight w:val="none"/>
        </w:rPr>
        <w:t>环境空气质量改善带来较大压力。2019年、2020</w:t>
      </w:r>
      <w:r>
        <w:rPr>
          <w:rFonts w:hint="eastAsia" w:cs="Times New Roman"/>
          <w:color w:val="auto"/>
          <w:highlight w:val="none"/>
          <w:lang w:val="en-US" w:eastAsia="zh-CN"/>
        </w:rPr>
        <w:t>年</w:t>
      </w:r>
      <w:r>
        <w:rPr>
          <w:rFonts w:cs="Times New Roman"/>
          <w:color w:val="auto"/>
          <w:highlight w:val="none"/>
        </w:rPr>
        <w:t>、2021年，全省生活垃圾焚烧企业在线监控数据</w:t>
      </w:r>
      <w:r>
        <w:rPr>
          <w:rFonts w:hint="eastAsia" w:cs="Times New Roman"/>
          <w:color w:val="auto"/>
          <w:highlight w:val="none"/>
          <w:lang w:val="en-US" w:eastAsia="zh-CN"/>
        </w:rPr>
        <w:t>废气</w:t>
      </w:r>
      <w:r>
        <w:rPr>
          <w:rFonts w:cs="Times New Roman"/>
          <w:color w:val="auto"/>
          <w:highlight w:val="none"/>
        </w:rPr>
        <w:t>排放总量</w:t>
      </w:r>
      <w:r>
        <w:rPr>
          <w:rFonts w:hint="eastAsia" w:cs="Times New Roman"/>
          <w:color w:val="auto"/>
          <w:highlight w:val="none"/>
          <w:lang w:eastAsia="zh-CN"/>
        </w:rPr>
        <w:t>（</w:t>
      </w:r>
      <w:r>
        <w:rPr>
          <w:rFonts w:cs="Times New Roman"/>
          <w:color w:val="auto"/>
          <w:highlight w:val="none"/>
        </w:rPr>
        <w:t>颗粒物</w:t>
      </w:r>
      <w:r>
        <w:rPr>
          <w:rFonts w:hint="eastAsia" w:cs="Times New Roman"/>
          <w:color w:val="auto"/>
          <w:highlight w:val="none"/>
          <w:lang w:eastAsia="zh-CN"/>
        </w:rPr>
        <w:t>、</w:t>
      </w:r>
      <w:r>
        <w:rPr>
          <w:rFonts w:cs="Times New Roman"/>
          <w:color w:val="auto"/>
          <w:highlight w:val="none"/>
        </w:rPr>
        <w:t>二氧化硫、氮氧化物</w:t>
      </w:r>
      <w:r>
        <w:rPr>
          <w:rFonts w:hint="eastAsia" w:cs="Times New Roman"/>
          <w:color w:val="auto"/>
          <w:highlight w:val="none"/>
          <w:lang w:val="en-US" w:eastAsia="zh-CN"/>
        </w:rPr>
        <w:t>之和</w:t>
      </w:r>
      <w:r>
        <w:rPr>
          <w:rFonts w:hint="eastAsia" w:cs="Times New Roman"/>
          <w:color w:val="auto"/>
          <w:highlight w:val="none"/>
          <w:lang w:eastAsia="zh-CN"/>
        </w:rPr>
        <w:t>）</w:t>
      </w:r>
      <w:r>
        <w:rPr>
          <w:rFonts w:cs="Times New Roman"/>
          <w:color w:val="auto"/>
          <w:highlight w:val="none"/>
        </w:rPr>
        <w:t>分别为2025吨、4211吨、6325吨，占全省同期污染物排放总量的比率分别为1.7%、3.6%和5.3%；2022年</w:t>
      </w:r>
      <w:bookmarkStart w:id="3" w:name="_Hlk120002595"/>
      <w:r>
        <w:rPr>
          <w:rFonts w:cs="Times New Roman"/>
          <w:color w:val="auto"/>
          <w:highlight w:val="none"/>
        </w:rPr>
        <w:t>1~6月排放量为4247吨，占全省同期废气污染物排放总量的7.2%。</w:t>
      </w:r>
      <w:bookmarkEnd w:id="3"/>
      <w:r>
        <w:rPr>
          <w:rFonts w:cs="Times New Roman"/>
          <w:color w:val="auto"/>
          <w:highlight w:val="none"/>
        </w:rPr>
        <w:t>制定较为严格的生活垃圾焚烧大气污染物排放标准，将有效</w:t>
      </w:r>
      <w:r>
        <w:rPr>
          <w:rFonts w:hint="eastAsia" w:cs="Times New Roman"/>
          <w:color w:val="auto"/>
          <w:highlight w:val="none"/>
          <w:lang w:val="en-US" w:eastAsia="zh-CN"/>
        </w:rPr>
        <w:t>的</w:t>
      </w:r>
      <w:r>
        <w:rPr>
          <w:rFonts w:cs="Times New Roman"/>
          <w:color w:val="auto"/>
          <w:highlight w:val="none"/>
        </w:rPr>
        <w:t>促进生活垃圾焚烧企业减少污染物排放量，推动环境空气质量持续改善。</w:t>
      </w:r>
    </w:p>
    <w:bookmarkEnd w:id="2"/>
    <w:p>
      <w:pPr>
        <w:spacing w:line="360" w:lineRule="auto"/>
        <w:ind w:firstLine="640"/>
        <w:rPr>
          <w:rFonts w:cs="Times New Roman"/>
          <w:b/>
          <w:bCs/>
          <w:color w:val="auto"/>
          <w:highlight w:val="none"/>
        </w:rPr>
      </w:pPr>
      <w:bookmarkStart w:id="4" w:name="_Hlk120454463"/>
      <w:r>
        <w:rPr>
          <w:rFonts w:cs="Times New Roman"/>
          <w:b/>
          <w:bCs/>
          <w:color w:val="auto"/>
          <w:highlight w:val="none"/>
        </w:rPr>
        <w:t>（2）加强我省环境监管工作的需要</w:t>
      </w:r>
    </w:p>
    <w:bookmarkEnd w:id="4"/>
    <w:p>
      <w:pPr>
        <w:ind w:firstLine="640"/>
        <w:rPr>
          <w:rFonts w:cs="Times New Roman"/>
          <w:color w:val="auto"/>
          <w:highlight w:val="none"/>
        </w:rPr>
      </w:pPr>
      <w:bookmarkStart w:id="5" w:name="_Hlk120524110"/>
      <w:r>
        <w:rPr>
          <w:rFonts w:cs="Times New Roman"/>
          <w:color w:val="auto"/>
          <w:highlight w:val="none"/>
        </w:rPr>
        <w:t>《河南省2020年大气污染防治攻坚战实施方案》要求：开展生活垃圾焚烧行业提标治理。2020年底前，垃圾焚烧发电企业全面完成提标治理，焚烧炉烟气颗粒物、二氧化硫、氮氧化物排放浓度（1小时均值）在基准氧含量11%的条件下分别不高于10、35、100毫克/立方米，采用氨法脱硝、氨法脱硫工艺的垃圾焚烧废气氨逃逸浓度不高于8毫克/立方米；</w:t>
      </w:r>
      <w:bookmarkStart w:id="6" w:name="_Hlk120453459"/>
      <w:r>
        <w:rPr>
          <w:rFonts w:cs="Times New Roman"/>
          <w:color w:val="auto"/>
          <w:highlight w:val="none"/>
        </w:rPr>
        <w:t>《</w:t>
      </w:r>
      <w:bookmarkEnd w:id="6"/>
      <w:r>
        <w:rPr>
          <w:rFonts w:cs="Times New Roman"/>
          <w:color w:val="auto"/>
          <w:highlight w:val="none"/>
        </w:rPr>
        <w:t>河南省2021年大气污染防治攻坚战实施方案</w:t>
      </w:r>
      <w:bookmarkStart w:id="7" w:name="_Hlk120453467"/>
      <w:r>
        <w:rPr>
          <w:rFonts w:cs="Times New Roman"/>
          <w:color w:val="auto"/>
          <w:highlight w:val="none"/>
        </w:rPr>
        <w:t>》</w:t>
      </w:r>
      <w:bookmarkEnd w:id="7"/>
      <w:r>
        <w:rPr>
          <w:rFonts w:cs="Times New Roman"/>
          <w:color w:val="auto"/>
          <w:highlight w:val="none"/>
        </w:rPr>
        <w:t>又明确要求：推进垃圾焚烧发电企业全面完成提标治理，焚烧炉烟气颗粒物、二氧化硫、氮氧化物排放浓度（1小时均值）在基准氧含量11%的条件下分别不高于10、35、100毫克/立方米，采用氨法脱硝、氨法脱硫工艺的垃圾焚烧废气氨排放浓度不高于8毫克/立方米。</w:t>
      </w:r>
    </w:p>
    <w:bookmarkEnd w:id="5"/>
    <w:p>
      <w:pPr>
        <w:ind w:firstLine="640"/>
        <w:rPr>
          <w:rFonts w:cs="Times New Roman"/>
          <w:color w:val="auto"/>
          <w:highlight w:val="none"/>
        </w:rPr>
      </w:pPr>
      <w:r>
        <w:rPr>
          <w:rFonts w:cs="Times New Roman"/>
          <w:color w:val="auto"/>
          <w:highlight w:val="none"/>
        </w:rPr>
        <w:t>生活垃圾焚烧企业现在执行的《生活垃圾焚烧污染控制标准》（GB18485-2014），颗粒物、二氧化硫、氮氧化物小时均值排放限值分别为</w:t>
      </w:r>
      <w:bookmarkStart w:id="8" w:name="_Hlk120454032"/>
      <w:r>
        <w:rPr>
          <w:rFonts w:cs="Times New Roman"/>
          <w:color w:val="auto"/>
          <w:highlight w:val="none"/>
        </w:rPr>
        <w:t>30、100、300毫克/立方米，</w:t>
      </w:r>
      <w:bookmarkEnd w:id="8"/>
      <w:r>
        <w:rPr>
          <w:rFonts w:cs="Times New Roman"/>
          <w:color w:val="auto"/>
          <w:highlight w:val="none"/>
        </w:rPr>
        <w:t>日均值排放限值分别为20、80、250毫克/立方米。随着近年来我省持续深入开展生活垃圾焚烧企业大气污染治理，生活垃圾焚烧企业现行国家标准规定的颗粒物、二氧化硫、氮氧化物排放限值均远高于目前我省生活垃圾焚烧企业实际可以达到的排放水平，排放限值要求过于宽泛，已明显不满足当前我省环境管理实际需要，海南省在2019年、河北省、天津和福建省在2021年就已制订实施了更加严格的地方标准，山东省和江苏省更加严格的地方标准也正在网上征求意见。在依法行政的大背景下，为进一步加强全省生活垃圾焚烧企业环境监管，制定更严格的生活垃圾焚烧大气污染物排放标准，依法进行环境监督管理迫在眉睫。</w:t>
      </w:r>
    </w:p>
    <w:p>
      <w:pPr>
        <w:spacing w:line="360" w:lineRule="auto"/>
        <w:ind w:firstLine="640"/>
        <w:rPr>
          <w:rFonts w:cs="Times New Roman"/>
          <w:b/>
          <w:bCs/>
          <w:color w:val="auto"/>
          <w:highlight w:val="none"/>
        </w:rPr>
      </w:pPr>
      <w:r>
        <w:rPr>
          <w:rFonts w:cs="Times New Roman"/>
          <w:b/>
          <w:bCs/>
          <w:color w:val="auto"/>
          <w:highlight w:val="none"/>
        </w:rPr>
        <w:t>（3）落实国家相关环保政策的需要</w:t>
      </w:r>
    </w:p>
    <w:p>
      <w:pPr>
        <w:ind w:firstLine="640"/>
        <w:rPr>
          <w:rFonts w:cs="Times New Roman"/>
          <w:color w:val="auto"/>
          <w:highlight w:val="none"/>
        </w:rPr>
      </w:pPr>
      <w:bookmarkStart w:id="9" w:name="_Hlk120509288"/>
      <w:bookmarkStart w:id="10" w:name="OLE_LINK5"/>
      <w:r>
        <w:rPr>
          <w:rFonts w:cs="Times New Roman"/>
          <w:color w:val="auto"/>
          <w:highlight w:val="none"/>
        </w:rPr>
        <w:t>《中华人民共和国环境保护法》</w:t>
      </w:r>
      <w:bookmarkEnd w:id="9"/>
      <w:r>
        <w:rPr>
          <w:rFonts w:cs="Times New Roman"/>
          <w:color w:val="auto"/>
          <w:highlight w:val="none"/>
        </w:rPr>
        <w:t>第十六条明确： 省、自治区、直辖市人民政府对国家污染物排放标准中未作规定的项目，可以制定地方污染物排放标准；对国家污染物排放标准中已作规定的项目，可以制定严于国家污染物排放标准的地方污染物排放标准；《中华人民共和国大气污染防治法》第二条明确：防治大气污染，应当加强对燃煤、工业、机动车船、扬尘、农业等大气污染的综合防治，推行区域大气污染联合防治，对颗粒物、二氧化硫、氮氧化物、挥发性有机物、氨等大气污染物和温室气体实施协同控制；《国家环境保护标准</w:t>
      </w:r>
      <w:bookmarkStart w:id="11" w:name="_Hlk120457505"/>
      <w:r>
        <w:rPr>
          <w:rFonts w:cs="Times New Roman"/>
          <w:color w:val="auto"/>
          <w:highlight w:val="none"/>
        </w:rPr>
        <w:t>“</w:t>
      </w:r>
      <w:bookmarkEnd w:id="11"/>
      <w:r>
        <w:rPr>
          <w:rFonts w:cs="Times New Roman"/>
          <w:color w:val="auto"/>
          <w:highlight w:val="none"/>
        </w:rPr>
        <w:t>十三五”发展规划》（环科技〔2017〕49号）提出，对严格实施现行国家污染物排放标准后，环境质量仍然不能达标的地区，要加强地方环保标准的制定实施。</w:t>
      </w:r>
    </w:p>
    <w:p>
      <w:pPr>
        <w:ind w:firstLine="640"/>
        <w:rPr>
          <w:rFonts w:cs="Times New Roman"/>
          <w:color w:val="auto"/>
          <w:highlight w:val="none"/>
        </w:rPr>
      </w:pPr>
      <w:r>
        <w:rPr>
          <w:rFonts w:cs="Times New Roman"/>
          <w:color w:val="auto"/>
          <w:highlight w:val="none"/>
        </w:rPr>
        <w:t>近年来，我省大气环境质量逐年好转，但环境空气质量达标任务依然艰巨，加快出台更加严格的地方生活垃圾大气污染物排放标准、在标准中增加国标中未控制且对我省大气环境质量影响较大的氨排放指标，是落实国家环保政策、加强大气污染防治工作、实现污染物协同控制、促进我省大气环境质量达标的客观需要。</w:t>
      </w:r>
    </w:p>
    <w:p>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textAlignment w:val="auto"/>
        <w:rPr>
          <w:rFonts w:hint="eastAsia" w:ascii="Times New Roman" w:hAnsi="Times New Roman" w:eastAsia="仿宋_GB2312" w:cs="Times New Roman"/>
          <w:color w:val="auto"/>
          <w:kern w:val="2"/>
          <w:szCs w:val="22"/>
          <w:highlight w:val="none"/>
          <w:lang w:val="en-US" w:eastAsia="zh-CN"/>
        </w:rPr>
      </w:pPr>
      <w:bookmarkStart w:id="12" w:name="_Toc84675020"/>
      <w:bookmarkStart w:id="13" w:name="_Toc21522"/>
      <w:r>
        <w:rPr>
          <w:rFonts w:hint="eastAsia" w:ascii="Times New Roman" w:hAnsi="Times New Roman" w:eastAsia="仿宋_GB2312" w:cs="Times New Roman"/>
          <w:color w:val="auto"/>
          <w:kern w:val="2"/>
          <w:szCs w:val="22"/>
          <w:highlight w:val="none"/>
          <w:lang w:val="en-US" w:eastAsia="zh-CN"/>
        </w:rPr>
        <w:t>2.任务来源及编制原则和依据</w:t>
      </w:r>
      <w:bookmarkEnd w:id="12"/>
      <w:bookmarkEnd w:id="13"/>
    </w:p>
    <w:bookmarkEnd w:id="10"/>
    <w:p>
      <w:pPr>
        <w:pStyle w:val="3"/>
        <w:spacing w:before="156" w:after="156"/>
        <w:ind w:left="0" w:leftChars="0" w:firstLine="0" w:firstLineChars="0"/>
        <w:rPr>
          <w:rFonts w:eastAsia="仿宋_GB2312" w:cs="Times New Roman"/>
          <w:b/>
          <w:bCs/>
          <w:color w:val="auto"/>
          <w:szCs w:val="22"/>
          <w:highlight w:val="none"/>
        </w:rPr>
      </w:pPr>
      <w:bookmarkStart w:id="14" w:name="_Toc10948"/>
      <w:bookmarkStart w:id="15" w:name="_Toc13493340"/>
      <w:bookmarkStart w:id="16" w:name="_Toc13493375"/>
      <w:bookmarkStart w:id="17" w:name="_Toc13493410"/>
      <w:bookmarkStart w:id="18" w:name="_Toc339444593"/>
      <w:bookmarkStart w:id="19" w:name="_Toc13493246"/>
      <w:bookmarkStart w:id="20" w:name="_Toc13493318"/>
      <w:bookmarkStart w:id="21" w:name="_Toc13493274"/>
      <w:bookmarkStart w:id="22" w:name="_Toc27405"/>
      <w:bookmarkStart w:id="23" w:name="_Hlk120457941"/>
      <w:r>
        <w:rPr>
          <w:rFonts w:eastAsia="仿宋_GB2312" w:cs="Times New Roman"/>
          <w:b/>
          <w:bCs/>
          <w:color w:val="auto"/>
          <w:szCs w:val="22"/>
          <w:highlight w:val="none"/>
        </w:rPr>
        <w:t>2.1</w:t>
      </w:r>
      <w:r>
        <w:rPr>
          <w:rFonts w:hint="eastAsia" w:eastAsia="仿宋_GB2312" w:cs="Times New Roman"/>
          <w:b/>
          <w:bCs/>
          <w:color w:val="auto"/>
          <w:szCs w:val="22"/>
          <w:highlight w:val="none"/>
          <w:lang w:val="en-US" w:eastAsia="zh-CN"/>
        </w:rPr>
        <w:t xml:space="preserve"> </w:t>
      </w:r>
      <w:r>
        <w:rPr>
          <w:rFonts w:eastAsia="仿宋_GB2312" w:cs="Times New Roman"/>
          <w:b/>
          <w:bCs/>
          <w:color w:val="auto"/>
          <w:szCs w:val="22"/>
          <w:highlight w:val="none"/>
        </w:rPr>
        <w:t>任务来源</w:t>
      </w:r>
      <w:bookmarkEnd w:id="14"/>
      <w:bookmarkEnd w:id="15"/>
      <w:bookmarkEnd w:id="16"/>
      <w:bookmarkEnd w:id="17"/>
      <w:bookmarkEnd w:id="18"/>
      <w:bookmarkEnd w:id="19"/>
      <w:bookmarkEnd w:id="20"/>
      <w:bookmarkEnd w:id="21"/>
      <w:bookmarkEnd w:id="22"/>
    </w:p>
    <w:bookmarkEnd w:id="23"/>
    <w:p>
      <w:pPr>
        <w:ind w:firstLine="640"/>
        <w:rPr>
          <w:rFonts w:cs="Times New Roman"/>
          <w:color w:val="auto"/>
          <w:highlight w:val="none"/>
        </w:rPr>
      </w:pPr>
      <w:r>
        <w:rPr>
          <w:rFonts w:cs="Times New Roman"/>
          <w:color w:val="auto"/>
          <w:highlight w:val="none"/>
        </w:rPr>
        <w:t>为深入贯彻落实河南省委、省政府关于深入打好大气污染防治攻坚战的决策部署要求，持续推进生活垃圾焚烧企业环保升级改造，提高污染治理设施去除效率和环境管理水平，减少生活垃圾焚烧企业大气污染物排放，持续改善全省环境空气质量，进一步调整优化我省产业结构，省生态环境厅决定制定实施地方标准《</w:t>
      </w:r>
      <w:bookmarkStart w:id="24" w:name="_Hlk120457459"/>
      <w:r>
        <w:rPr>
          <w:rFonts w:cs="Times New Roman"/>
          <w:color w:val="auto"/>
          <w:highlight w:val="none"/>
        </w:rPr>
        <w:t>生活垃圾焚烧</w:t>
      </w:r>
      <w:bookmarkEnd w:id="24"/>
      <w:r>
        <w:rPr>
          <w:rFonts w:cs="Times New Roman"/>
          <w:color w:val="auto"/>
          <w:highlight w:val="none"/>
        </w:rPr>
        <w:t>大气污染物排放标准》。</w:t>
      </w:r>
    </w:p>
    <w:p>
      <w:pPr>
        <w:spacing w:line="360" w:lineRule="auto"/>
        <w:ind w:firstLine="640"/>
        <w:rPr>
          <w:rFonts w:cs="Times New Roman"/>
          <w:color w:val="auto"/>
          <w:highlight w:val="none"/>
        </w:rPr>
      </w:pPr>
      <w:r>
        <w:rPr>
          <w:rFonts w:cs="Times New Roman"/>
          <w:color w:val="auto"/>
          <w:highlight w:val="none"/>
        </w:rPr>
        <w:t>2022年8月，河南省市场监督管理局印发《关于下达 2022 年河南省地方标准制修订计划的通知》（豫市监函〔2022〕53 号），将《生活垃圾焚烧大气污染物排放标准》列入2022年河南省地方标准制修订计划，项目编号为“20221210036” ，标准起草单位为</w:t>
      </w:r>
      <w:bookmarkStart w:id="25" w:name="_Toc7633"/>
      <w:r>
        <w:rPr>
          <w:rFonts w:cs="Times New Roman"/>
          <w:color w:val="auto"/>
          <w:highlight w:val="none"/>
        </w:rPr>
        <w:t>郑州轻工业大学、河南鑫晟环保科技有限公司、城发环境股份有限公司、河南乾坤检测技术有限公司、郑州</w:t>
      </w:r>
      <w:r>
        <w:rPr>
          <w:rFonts w:hint="eastAsia" w:cs="Times New Roman"/>
          <w:color w:val="auto"/>
          <w:highlight w:val="none"/>
          <w:lang w:val="en-US" w:eastAsia="zh-CN"/>
        </w:rPr>
        <w:t>轻大</w:t>
      </w:r>
      <w:r>
        <w:rPr>
          <w:rFonts w:cs="Times New Roman"/>
          <w:color w:val="auto"/>
          <w:highlight w:val="none"/>
        </w:rPr>
        <w:t>产业技术研究院有限公司等单位。</w:t>
      </w:r>
    </w:p>
    <w:p>
      <w:pPr>
        <w:pStyle w:val="3"/>
        <w:spacing w:before="156" w:after="156" w:line="360" w:lineRule="auto"/>
        <w:ind w:left="0" w:leftChars="0" w:firstLine="0" w:firstLineChars="0"/>
        <w:rPr>
          <w:rFonts w:eastAsia="仿宋_GB2312" w:cs="Times New Roman"/>
          <w:b/>
          <w:bCs/>
          <w:color w:val="auto"/>
          <w:szCs w:val="22"/>
          <w:highlight w:val="none"/>
        </w:rPr>
      </w:pPr>
      <w:bookmarkStart w:id="26" w:name="_Toc7790"/>
      <w:r>
        <w:rPr>
          <w:rFonts w:eastAsia="仿宋_GB2312" w:cs="Times New Roman"/>
          <w:b/>
          <w:bCs/>
          <w:color w:val="auto"/>
          <w:szCs w:val="22"/>
          <w:highlight w:val="none"/>
        </w:rPr>
        <w:t>2.2</w:t>
      </w:r>
      <w:r>
        <w:rPr>
          <w:rFonts w:hint="eastAsia" w:eastAsia="仿宋_GB2312" w:cs="Times New Roman"/>
          <w:b/>
          <w:bCs/>
          <w:color w:val="auto"/>
          <w:szCs w:val="22"/>
          <w:highlight w:val="none"/>
          <w:lang w:val="en-US" w:eastAsia="zh-CN"/>
        </w:rPr>
        <w:t xml:space="preserve"> </w:t>
      </w:r>
      <w:r>
        <w:rPr>
          <w:rFonts w:eastAsia="仿宋_GB2312" w:cs="Times New Roman"/>
          <w:b/>
          <w:bCs/>
          <w:color w:val="auto"/>
          <w:szCs w:val="22"/>
          <w:highlight w:val="none"/>
        </w:rPr>
        <w:t>编制原则</w:t>
      </w:r>
      <w:bookmarkEnd w:id="26"/>
    </w:p>
    <w:p>
      <w:pPr>
        <w:spacing w:line="360" w:lineRule="auto"/>
        <w:ind w:firstLine="640"/>
        <w:rPr>
          <w:rFonts w:cs="Times New Roman"/>
          <w:color w:val="auto"/>
          <w:highlight w:val="none"/>
        </w:rPr>
      </w:pPr>
      <w:r>
        <w:rPr>
          <w:rFonts w:cs="Times New Roman"/>
          <w:color w:val="auto"/>
          <w:highlight w:val="none"/>
        </w:rPr>
        <w:t>本标准制定主要遵循以下基本原则：</w:t>
      </w:r>
    </w:p>
    <w:p>
      <w:pPr>
        <w:spacing w:line="360" w:lineRule="auto"/>
        <w:ind w:firstLine="640"/>
        <w:rPr>
          <w:rFonts w:cs="Times New Roman"/>
          <w:color w:val="auto"/>
          <w:highlight w:val="none"/>
        </w:rPr>
      </w:pPr>
      <w:r>
        <w:rPr>
          <w:rFonts w:cs="Times New Roman"/>
          <w:color w:val="auto"/>
          <w:highlight w:val="none"/>
        </w:rPr>
        <w:t>（1）与国家标准衔接的原则</w:t>
      </w:r>
    </w:p>
    <w:p>
      <w:pPr>
        <w:spacing w:line="360" w:lineRule="auto"/>
        <w:ind w:firstLine="640"/>
        <w:rPr>
          <w:rFonts w:cs="Times New Roman"/>
          <w:color w:val="auto"/>
          <w:highlight w:val="none"/>
        </w:rPr>
      </w:pPr>
      <w:r>
        <w:rPr>
          <w:rFonts w:cs="Times New Roman"/>
          <w:color w:val="auto"/>
          <w:highlight w:val="none"/>
        </w:rPr>
        <w:t>作为地方标准，本标准制定应以国家标准为基础，以国家和河南省现行的生态环境保护法律、法规和标准规范为依据，制定的指标限值应严于当前国家标准或相当。</w:t>
      </w:r>
    </w:p>
    <w:p>
      <w:pPr>
        <w:ind w:firstLine="640"/>
        <w:rPr>
          <w:rFonts w:cs="Times New Roman"/>
          <w:color w:val="auto"/>
          <w:highlight w:val="none"/>
        </w:rPr>
      </w:pPr>
      <w:r>
        <w:rPr>
          <w:rFonts w:cs="Times New Roman"/>
          <w:color w:val="auto"/>
          <w:highlight w:val="none"/>
        </w:rPr>
        <w:t>（2）从严控制原则</w:t>
      </w:r>
    </w:p>
    <w:p>
      <w:pPr>
        <w:ind w:firstLine="640"/>
        <w:rPr>
          <w:rFonts w:cs="Times New Roman"/>
          <w:color w:val="auto"/>
          <w:highlight w:val="none"/>
        </w:rPr>
      </w:pPr>
      <w:r>
        <w:rPr>
          <w:rFonts w:cs="Times New Roman"/>
          <w:color w:val="auto"/>
          <w:highlight w:val="none"/>
        </w:rPr>
        <w:t>作为地方标准，从严控制既是河南省制定出台该标准的客观需要，也是标准制定的基本原则。通过调整加严排放标准，推动现有生活垃圾焚烧行业进行技术改造，促进新建生活垃圾焚烧企业采用更加清洁的生产工艺和技术，削减大气污染物排放。</w:t>
      </w:r>
    </w:p>
    <w:p>
      <w:pPr>
        <w:ind w:firstLine="640"/>
        <w:rPr>
          <w:rFonts w:cs="Times New Roman"/>
          <w:color w:val="auto"/>
          <w:highlight w:val="none"/>
        </w:rPr>
      </w:pPr>
      <w:r>
        <w:rPr>
          <w:rFonts w:cs="Times New Roman"/>
          <w:color w:val="auto"/>
          <w:highlight w:val="none"/>
        </w:rPr>
        <w:t>（3）实施可行性原则</w:t>
      </w:r>
    </w:p>
    <w:p>
      <w:pPr>
        <w:ind w:firstLine="640"/>
        <w:rPr>
          <w:rFonts w:cs="Times New Roman"/>
          <w:color w:val="auto"/>
          <w:highlight w:val="none"/>
        </w:rPr>
      </w:pPr>
      <w:r>
        <w:rPr>
          <w:rFonts w:cs="Times New Roman"/>
          <w:color w:val="auto"/>
          <w:highlight w:val="none"/>
        </w:rPr>
        <w:t>标准制定将依托当前生活垃圾焚烧行业成熟先进的生产工艺技术与污染治理技术确定排放标准限值，确保标准执行的技术可行性。</w:t>
      </w:r>
    </w:p>
    <w:p>
      <w:pPr>
        <w:ind w:firstLine="640"/>
        <w:rPr>
          <w:rFonts w:cs="Times New Roman"/>
          <w:color w:val="auto"/>
          <w:highlight w:val="none"/>
        </w:rPr>
      </w:pPr>
      <w:r>
        <w:rPr>
          <w:rFonts w:cs="Times New Roman"/>
          <w:color w:val="auto"/>
          <w:highlight w:val="none"/>
        </w:rPr>
        <w:t>（4）同类标准相比较原则</w:t>
      </w:r>
    </w:p>
    <w:p>
      <w:pPr>
        <w:ind w:firstLine="640"/>
        <w:rPr>
          <w:rFonts w:cs="Times New Roman"/>
          <w:color w:val="auto"/>
          <w:highlight w:val="none"/>
        </w:rPr>
      </w:pPr>
      <w:r>
        <w:rPr>
          <w:rFonts w:cs="Times New Roman"/>
          <w:color w:val="auto"/>
          <w:highlight w:val="none"/>
        </w:rPr>
        <w:t>本标准制定将参考国家及河北、天津、上海、福建、海南</w:t>
      </w:r>
      <w:r>
        <w:rPr>
          <w:rFonts w:hint="eastAsia" w:cs="Times New Roman"/>
          <w:color w:val="auto"/>
          <w:highlight w:val="none"/>
          <w:lang w:eastAsia="zh-CN"/>
        </w:rPr>
        <w:t>、</w:t>
      </w:r>
      <w:r>
        <w:rPr>
          <w:rFonts w:hint="eastAsia" w:cs="Times New Roman"/>
          <w:color w:val="auto"/>
          <w:highlight w:val="none"/>
          <w:lang w:val="en-US" w:eastAsia="zh-CN"/>
        </w:rPr>
        <w:t>山东、江苏等</w:t>
      </w:r>
      <w:r>
        <w:rPr>
          <w:rFonts w:cs="Times New Roman"/>
          <w:color w:val="auto"/>
          <w:highlight w:val="none"/>
        </w:rPr>
        <w:t>已出台的地方标准，通过横向比较提高标准的合理性。</w:t>
      </w:r>
    </w:p>
    <w:p>
      <w:pPr>
        <w:ind w:firstLine="640"/>
        <w:rPr>
          <w:rFonts w:cs="Times New Roman"/>
          <w:color w:val="auto"/>
          <w:highlight w:val="none"/>
        </w:rPr>
      </w:pPr>
      <w:r>
        <w:rPr>
          <w:rFonts w:cs="Times New Roman"/>
          <w:color w:val="auto"/>
          <w:highlight w:val="none"/>
        </w:rPr>
        <w:t>（5）结合本地区实际的原则</w:t>
      </w:r>
    </w:p>
    <w:p>
      <w:pPr>
        <w:ind w:firstLine="640"/>
        <w:rPr>
          <w:rFonts w:cs="Times New Roman"/>
          <w:color w:val="auto"/>
          <w:highlight w:val="none"/>
        </w:rPr>
      </w:pPr>
      <w:r>
        <w:rPr>
          <w:rFonts w:cs="Times New Roman"/>
          <w:color w:val="auto"/>
          <w:highlight w:val="none"/>
        </w:rPr>
        <w:t>根据河南省生活垃圾焚烧行业生产水平和污染治理能力的，通过综合分析确定排放限值，使本地方标准制定实施符合河南省的现状。</w:t>
      </w:r>
    </w:p>
    <w:p>
      <w:pPr>
        <w:ind w:firstLine="640"/>
        <w:rPr>
          <w:rFonts w:cs="Times New Roman"/>
          <w:color w:val="auto"/>
          <w:highlight w:val="none"/>
        </w:rPr>
      </w:pPr>
      <w:r>
        <w:rPr>
          <w:rFonts w:cs="Times New Roman"/>
          <w:color w:val="auto"/>
          <w:highlight w:val="none"/>
        </w:rPr>
        <w:t>（6）多方参与原则</w:t>
      </w:r>
    </w:p>
    <w:p>
      <w:pPr>
        <w:ind w:firstLine="640"/>
        <w:rPr>
          <w:rFonts w:cs="Times New Roman"/>
          <w:color w:val="auto"/>
          <w:highlight w:val="none"/>
        </w:rPr>
      </w:pPr>
      <w:r>
        <w:rPr>
          <w:rFonts w:cs="Times New Roman"/>
          <w:color w:val="auto"/>
          <w:highlight w:val="none"/>
        </w:rPr>
        <w:t>标准制定中将采取多种方式，听取政府、行业、企业、专家、公众、环境管理部门等意见，兼顾各方利益诉求，以保证标准的科学性、针对性、可操作性。</w:t>
      </w:r>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27" w:name="_Toc29659"/>
      <w:r>
        <w:rPr>
          <w:rFonts w:ascii="Times New Roman" w:hAnsi="Times New Roman" w:eastAsia="仿宋_GB2312" w:cs="Times New Roman"/>
          <w:b/>
          <w:bCs/>
          <w:color w:val="auto"/>
          <w:szCs w:val="22"/>
          <w:highlight w:val="none"/>
        </w:rPr>
        <w:t>2.3 编制依据</w:t>
      </w:r>
      <w:bookmarkEnd w:id="27"/>
    </w:p>
    <w:p>
      <w:pPr>
        <w:ind w:firstLine="640"/>
        <w:rPr>
          <w:rFonts w:cs="Times New Roman"/>
          <w:color w:val="auto"/>
          <w:highlight w:val="none"/>
        </w:rPr>
      </w:pPr>
      <w:r>
        <w:rPr>
          <w:rFonts w:cs="Times New Roman"/>
          <w:color w:val="auto"/>
          <w:highlight w:val="none"/>
        </w:rPr>
        <w:t>（1）《中华人民共和国环境保护法》</w:t>
      </w:r>
    </w:p>
    <w:p>
      <w:pPr>
        <w:ind w:firstLine="640"/>
        <w:rPr>
          <w:rFonts w:cs="Times New Roman"/>
          <w:color w:val="auto"/>
          <w:highlight w:val="none"/>
        </w:rPr>
      </w:pPr>
      <w:r>
        <w:rPr>
          <w:rFonts w:cs="Times New Roman"/>
          <w:color w:val="auto"/>
          <w:highlight w:val="none"/>
        </w:rPr>
        <w:t>（2）《中华人民共和国大气污染防治法》</w:t>
      </w:r>
    </w:p>
    <w:p>
      <w:pPr>
        <w:ind w:firstLine="640"/>
        <w:rPr>
          <w:rFonts w:cs="Times New Roman"/>
          <w:color w:val="auto"/>
          <w:highlight w:val="none"/>
        </w:rPr>
      </w:pPr>
      <w:r>
        <w:rPr>
          <w:rFonts w:cs="Times New Roman"/>
          <w:color w:val="auto"/>
          <w:highlight w:val="none"/>
        </w:rPr>
        <w:t>（3）《中华人民共和国标准化法》</w:t>
      </w:r>
    </w:p>
    <w:p>
      <w:pPr>
        <w:ind w:firstLine="640"/>
        <w:rPr>
          <w:color w:val="auto"/>
          <w:highlight w:val="none"/>
        </w:rPr>
      </w:pPr>
      <w:r>
        <w:rPr>
          <w:rFonts w:cs="Times New Roman"/>
          <w:color w:val="auto"/>
          <w:highlight w:val="none"/>
        </w:rPr>
        <w:t>（4）《国家生态环境标准制修订工作规则》</w:t>
      </w:r>
      <w:r>
        <w:rPr>
          <w:color w:val="auto"/>
          <w:highlight w:val="none"/>
        </w:rPr>
        <w:t>（</w:t>
      </w:r>
      <w:r>
        <w:rPr>
          <w:rFonts w:hint="eastAsia"/>
          <w:color w:val="auto"/>
          <w:highlight w:val="none"/>
        </w:rPr>
        <w:t>国环规法规〔2020〕4号</w:t>
      </w:r>
      <w:r>
        <w:rPr>
          <w:color w:val="auto"/>
          <w:highlight w:val="none"/>
        </w:rPr>
        <w:t>）</w:t>
      </w:r>
    </w:p>
    <w:p>
      <w:pPr>
        <w:ind w:firstLine="640"/>
        <w:rPr>
          <w:rFonts w:cs="Times New Roman"/>
          <w:color w:val="auto"/>
          <w:highlight w:val="none"/>
        </w:rPr>
      </w:pPr>
      <w:r>
        <w:rPr>
          <w:rFonts w:cs="Times New Roman"/>
          <w:color w:val="auto"/>
          <w:highlight w:val="none"/>
        </w:rPr>
        <w:t>（</w:t>
      </w:r>
      <w:r>
        <w:rPr>
          <w:rFonts w:hint="eastAsia" w:cs="Times New Roman"/>
          <w:color w:val="auto"/>
          <w:highlight w:val="none"/>
          <w:lang w:val="en-US" w:eastAsia="zh-CN"/>
        </w:rPr>
        <w:t>5</w:t>
      </w:r>
      <w:r>
        <w:rPr>
          <w:rFonts w:cs="Times New Roman"/>
          <w:color w:val="auto"/>
          <w:highlight w:val="none"/>
        </w:rPr>
        <w:t>）《标准化工作导则第1部分：标准化文件的结构和起草规则》（GB/T 1.1—2020）</w:t>
      </w:r>
    </w:p>
    <w:p>
      <w:pPr>
        <w:spacing w:line="360" w:lineRule="auto"/>
        <w:ind w:firstLine="640"/>
        <w:rPr>
          <w:rFonts w:cs="Times New Roman"/>
          <w:color w:val="auto"/>
          <w:highlight w:val="none"/>
        </w:rPr>
      </w:pPr>
      <w:r>
        <w:rPr>
          <w:rFonts w:cs="Times New Roman"/>
          <w:color w:val="auto"/>
          <w:highlight w:val="none"/>
        </w:rPr>
        <w:t>（</w:t>
      </w:r>
      <w:r>
        <w:rPr>
          <w:rFonts w:hint="eastAsia" w:cs="Times New Roman"/>
          <w:color w:val="auto"/>
          <w:highlight w:val="none"/>
          <w:lang w:val="en-US" w:eastAsia="zh-CN"/>
        </w:rPr>
        <w:t>6</w:t>
      </w:r>
      <w:r>
        <w:rPr>
          <w:rFonts w:cs="Times New Roman"/>
          <w:color w:val="auto"/>
          <w:highlight w:val="none"/>
        </w:rPr>
        <w:t>）《生态环境标准管理办法》（2021年2月1日起实施）</w:t>
      </w:r>
    </w:p>
    <w:p>
      <w:pPr>
        <w:spacing w:line="360" w:lineRule="auto"/>
        <w:ind w:firstLine="640"/>
        <w:rPr>
          <w:rFonts w:cs="Times New Roman"/>
          <w:color w:val="auto"/>
          <w:highlight w:val="none"/>
        </w:rPr>
      </w:pPr>
      <w:r>
        <w:rPr>
          <w:rFonts w:cs="Times New Roman"/>
          <w:color w:val="auto"/>
          <w:highlight w:val="none"/>
        </w:rPr>
        <w:t>（</w:t>
      </w:r>
      <w:r>
        <w:rPr>
          <w:rFonts w:hint="eastAsia" w:cs="Times New Roman"/>
          <w:color w:val="auto"/>
          <w:highlight w:val="none"/>
          <w:lang w:val="en-US" w:eastAsia="zh-CN"/>
        </w:rPr>
        <w:t>7</w:t>
      </w:r>
      <w:r>
        <w:rPr>
          <w:rFonts w:cs="Times New Roman"/>
          <w:color w:val="auto"/>
          <w:highlight w:val="none"/>
        </w:rPr>
        <w:t>）《国家大气污染物排放标准制订技术导则》（HJ 945.1—2018）</w:t>
      </w:r>
    </w:p>
    <w:p>
      <w:pPr>
        <w:spacing w:line="360" w:lineRule="auto"/>
        <w:ind w:firstLine="640"/>
        <w:rPr>
          <w:rFonts w:cs="Times New Roman"/>
          <w:color w:val="auto"/>
          <w:highlight w:val="none"/>
        </w:rPr>
      </w:pPr>
      <w:r>
        <w:rPr>
          <w:rFonts w:cs="Times New Roman"/>
          <w:color w:val="auto"/>
          <w:highlight w:val="none"/>
        </w:rPr>
        <w:t>（</w:t>
      </w:r>
      <w:r>
        <w:rPr>
          <w:rFonts w:hint="eastAsia" w:cs="Times New Roman"/>
          <w:color w:val="auto"/>
          <w:highlight w:val="none"/>
          <w:lang w:val="en-US" w:eastAsia="zh-CN"/>
        </w:rPr>
        <w:t>8</w:t>
      </w:r>
      <w:r>
        <w:rPr>
          <w:rFonts w:cs="Times New Roman"/>
          <w:color w:val="auto"/>
          <w:highlight w:val="none"/>
        </w:rPr>
        <w:t>）《排污许可证申请与核发技术规范 生活垃圾焚烧》（HJ 1039—2019）</w:t>
      </w:r>
    </w:p>
    <w:p>
      <w:pPr>
        <w:ind w:firstLine="640"/>
        <w:rPr>
          <w:rFonts w:cs="Times New Roman"/>
          <w:color w:val="auto"/>
          <w:highlight w:val="none"/>
        </w:rPr>
      </w:pPr>
      <w:r>
        <w:rPr>
          <w:rFonts w:hint="eastAsia"/>
          <w:color w:val="auto"/>
          <w:highlight w:val="none"/>
          <w:lang w:eastAsia="zh-CN"/>
        </w:rPr>
        <w:t>（</w:t>
      </w:r>
      <w:r>
        <w:rPr>
          <w:rFonts w:hint="eastAsia"/>
          <w:color w:val="auto"/>
          <w:highlight w:val="none"/>
          <w:lang w:val="en-US" w:eastAsia="zh-CN"/>
        </w:rPr>
        <w:t>9</w:t>
      </w:r>
      <w:r>
        <w:rPr>
          <w:rFonts w:hint="eastAsia"/>
          <w:color w:val="auto"/>
          <w:highlight w:val="none"/>
          <w:lang w:eastAsia="zh-CN"/>
        </w:rPr>
        <w:t>）</w:t>
      </w:r>
      <w:r>
        <w:rPr>
          <w:rFonts w:hint="eastAsia"/>
          <w:color w:val="auto"/>
          <w:highlight w:val="none"/>
        </w:rPr>
        <w:t>《河南省地方标准管理办法》（河南省市场监督管理局公告</w:t>
      </w:r>
      <w:r>
        <w:rPr>
          <w:color w:val="auto"/>
          <w:highlight w:val="none"/>
        </w:rPr>
        <w:t> 2019</w:t>
      </w:r>
      <w:r>
        <w:rPr>
          <w:rFonts w:hint="eastAsia"/>
          <w:color w:val="auto"/>
          <w:highlight w:val="none"/>
        </w:rPr>
        <w:t>年第</w:t>
      </w:r>
      <w:r>
        <w:rPr>
          <w:color w:val="auto"/>
          <w:highlight w:val="none"/>
        </w:rPr>
        <w:t>48</w:t>
      </w:r>
      <w:r>
        <w:rPr>
          <w:rFonts w:hint="eastAsia"/>
          <w:color w:val="auto"/>
          <w:highlight w:val="none"/>
        </w:rPr>
        <w:t>号）</w:t>
      </w:r>
    </w:p>
    <w:p>
      <w:pPr>
        <w:spacing w:line="360" w:lineRule="auto"/>
        <w:ind w:firstLine="640"/>
        <w:rPr>
          <w:rFonts w:cs="Times New Roman"/>
          <w:color w:val="auto"/>
          <w:highlight w:val="none"/>
        </w:rPr>
      </w:pPr>
      <w:r>
        <w:rPr>
          <w:rFonts w:cs="Times New Roman"/>
          <w:color w:val="auto"/>
          <w:highlight w:val="none"/>
        </w:rPr>
        <w:t>（1</w:t>
      </w:r>
      <w:r>
        <w:rPr>
          <w:rFonts w:hint="eastAsia" w:cs="Times New Roman"/>
          <w:color w:val="auto"/>
          <w:highlight w:val="none"/>
          <w:lang w:val="en-US" w:eastAsia="zh-CN"/>
        </w:rPr>
        <w:t>0</w:t>
      </w:r>
      <w:r>
        <w:rPr>
          <w:rFonts w:cs="Times New Roman"/>
          <w:color w:val="auto"/>
          <w:highlight w:val="none"/>
        </w:rPr>
        <w:t>）《河南省2022年大气污染防治攻坚战实施方案》</w:t>
      </w:r>
    </w:p>
    <w:p>
      <w:pPr>
        <w:spacing w:line="360" w:lineRule="auto"/>
        <w:ind w:firstLine="640"/>
        <w:rPr>
          <w:rFonts w:cs="Times New Roman"/>
          <w:color w:val="auto"/>
          <w:highlight w:val="none"/>
        </w:rPr>
      </w:pPr>
      <w:r>
        <w:rPr>
          <w:rFonts w:cs="Times New Roman"/>
          <w:color w:val="auto"/>
          <w:highlight w:val="none"/>
        </w:rPr>
        <w:t>（1</w:t>
      </w:r>
      <w:r>
        <w:rPr>
          <w:rFonts w:hint="eastAsia" w:cs="Times New Roman"/>
          <w:color w:val="auto"/>
          <w:highlight w:val="none"/>
          <w:lang w:val="en-US" w:eastAsia="zh-CN"/>
        </w:rPr>
        <w:t>1</w:t>
      </w:r>
      <w:r>
        <w:rPr>
          <w:rFonts w:cs="Times New Roman"/>
          <w:color w:val="auto"/>
          <w:highlight w:val="none"/>
        </w:rPr>
        <w:t>）《生活垃圾焚烧污染控制标准》（GB18485—2014）</w:t>
      </w:r>
    </w:p>
    <w:bookmarkEnd w:id="25"/>
    <w:p>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仿宋_GB2312" w:cs="Times New Roman"/>
          <w:color w:val="auto"/>
          <w:kern w:val="2"/>
          <w:szCs w:val="22"/>
          <w:highlight w:val="none"/>
          <w:lang w:val="en-US" w:eastAsia="zh-CN"/>
        </w:rPr>
      </w:pPr>
      <w:bookmarkStart w:id="28" w:name="_Toc23369"/>
      <w:bookmarkStart w:id="29" w:name="_Toc84675024"/>
      <w:r>
        <w:rPr>
          <w:rFonts w:hint="default" w:ascii="Times New Roman" w:hAnsi="Times New Roman" w:eastAsia="仿宋_GB2312" w:cs="Times New Roman"/>
          <w:color w:val="auto"/>
          <w:kern w:val="2"/>
          <w:szCs w:val="22"/>
          <w:highlight w:val="none"/>
          <w:lang w:val="en-US" w:eastAsia="zh-CN"/>
        </w:rPr>
        <w:t>3. 编制过程</w:t>
      </w:r>
      <w:bookmarkEnd w:id="28"/>
      <w:bookmarkEnd w:id="29"/>
    </w:p>
    <w:p>
      <w:pPr>
        <w:spacing w:line="360" w:lineRule="auto"/>
        <w:ind w:firstLine="640"/>
        <w:rPr>
          <w:rFonts w:cs="Times New Roman"/>
          <w:color w:val="auto"/>
          <w:highlight w:val="none"/>
        </w:rPr>
      </w:pPr>
      <w:r>
        <w:rPr>
          <w:rFonts w:cs="Times New Roman"/>
          <w:color w:val="auto"/>
          <w:highlight w:val="none"/>
        </w:rPr>
        <w:t>本标准编制工作由省生态环境厅科技处组织，郑州轻工业大学作为标准主要起草单位，与协作单位河南鑫晟环保科技有限公司</w:t>
      </w:r>
      <w:bookmarkStart w:id="30" w:name="_Hlk120458832"/>
      <w:r>
        <w:rPr>
          <w:rFonts w:cs="Times New Roman"/>
          <w:color w:val="auto"/>
          <w:highlight w:val="none"/>
        </w:rPr>
        <w:t>、</w:t>
      </w:r>
      <w:bookmarkEnd w:id="30"/>
      <w:r>
        <w:rPr>
          <w:rFonts w:cs="Times New Roman"/>
          <w:color w:val="auto"/>
          <w:highlight w:val="none"/>
        </w:rPr>
        <w:t>城发环境股份有限公司、河南乾坤检测技术有限公司和郑州轻大产业技术研究院有限公司组成标准编制组，按照标准编制程序的要求，制定了工作方案，分阶段开展了各项工作。</w:t>
      </w:r>
    </w:p>
    <w:p>
      <w:pPr>
        <w:spacing w:line="360" w:lineRule="auto"/>
        <w:ind w:firstLine="640"/>
        <w:rPr>
          <w:rFonts w:cs="Times New Roman"/>
          <w:color w:val="auto"/>
          <w:highlight w:val="none"/>
        </w:rPr>
      </w:pPr>
      <w:r>
        <w:rPr>
          <w:rFonts w:cs="Times New Roman"/>
          <w:color w:val="auto"/>
          <w:highlight w:val="none"/>
        </w:rPr>
        <w:t>（一）收集资料。2021年8月开始，编制组开展了前期资料收集和调研工作。根据研究需要，收集整理了生活垃圾焚烧企业相关的国家及其他省市标准规范，生态环境部、河南省和其他省市相关政策文件，河南省生活垃圾焚烧企业生产现状、大气污染物排放和治理现状等相关基础资料，并进行分类、整理、分析，为标准编制提供基础资料。</w:t>
      </w:r>
    </w:p>
    <w:p>
      <w:pPr>
        <w:spacing w:line="360" w:lineRule="auto"/>
        <w:ind w:firstLine="640"/>
        <w:rPr>
          <w:rFonts w:eastAsia="仿宋" w:cs="Times New Roman"/>
          <w:color w:val="auto"/>
          <w:highlight w:val="none"/>
        </w:rPr>
      </w:pPr>
      <w:r>
        <w:rPr>
          <w:rFonts w:cs="Times New Roman"/>
          <w:color w:val="auto"/>
          <w:highlight w:val="none"/>
        </w:rPr>
        <w:t>（二）现场调研。2021年9月开始，编制组在前期资料收集的基础上，选取有代表性的生活垃圾焚烧企业开展现场调研和检测工作，调研范围覆盖了不同规模、不同炉型、不同治理技术、不同管理水平的企业，针对</w:t>
      </w:r>
      <w:r>
        <w:rPr>
          <w:rFonts w:hint="eastAsia" w:cs="Times New Roman"/>
          <w:color w:val="auto"/>
          <w:highlight w:val="none"/>
          <w:lang w:val="en-US" w:eastAsia="zh-CN"/>
        </w:rPr>
        <w:t>全省</w:t>
      </w:r>
      <w:r>
        <w:rPr>
          <w:rFonts w:cs="Times New Roman"/>
          <w:color w:val="auto"/>
          <w:highlight w:val="none"/>
        </w:rPr>
        <w:t xml:space="preserve">不同规模生活垃圾焚烧企业开展调研，充分了解生活垃圾焚烧企业大气污染治理技术水平、污染物排放现状和存在问题，征求企业相关人员对行业标准制定的意见和建议，为开展生活垃圾焚烧企业大气污染物排放标准工作打下坚实基础。 </w:t>
      </w:r>
    </w:p>
    <w:p>
      <w:pPr>
        <w:ind w:firstLine="640"/>
        <w:rPr>
          <w:rFonts w:cs="Times New Roman"/>
          <w:color w:val="auto"/>
          <w:highlight w:val="none"/>
        </w:rPr>
      </w:pPr>
      <w:r>
        <w:rPr>
          <w:rFonts w:cs="Times New Roman"/>
          <w:color w:val="auto"/>
          <w:highlight w:val="none"/>
        </w:rPr>
        <w:t>（三）标准开题。在前期收集资料和现场调研的基础上，编制组全面梳理、分析我省生活垃圾焚烧企业发展现状、企业污染治理水平及污染物排放现状，结合河南省大气环境质量改善需要，论证了标准制定的必要性，理清了标准制定的总体思路，基于生活垃圾焚烧企业现有成熟的治理技术，确定了标准编制的基本原则、技术路线和主要内容。经过多次研讨、咨询，形成了《生活垃圾焚烧大气污染物排放标准》（开题报告）和《</w:t>
      </w:r>
      <w:bookmarkStart w:id="31" w:name="_Hlk120512602"/>
      <w:r>
        <w:rPr>
          <w:rFonts w:cs="Times New Roman"/>
          <w:color w:val="auto"/>
          <w:highlight w:val="none"/>
        </w:rPr>
        <w:t>生活垃圾焚烧</w:t>
      </w:r>
      <w:bookmarkEnd w:id="31"/>
      <w:r>
        <w:rPr>
          <w:rFonts w:cs="Times New Roman"/>
          <w:color w:val="auto"/>
          <w:highlight w:val="none"/>
        </w:rPr>
        <w:t>大气污染物排放标准》（草案）。</w:t>
      </w:r>
    </w:p>
    <w:p>
      <w:pPr>
        <w:ind w:firstLine="640"/>
        <w:rPr>
          <w:rFonts w:cs="Times New Roman"/>
          <w:color w:val="auto"/>
          <w:highlight w:val="none"/>
        </w:rPr>
      </w:pPr>
      <w:r>
        <w:rPr>
          <w:rFonts w:cs="Times New Roman"/>
          <w:color w:val="auto"/>
          <w:highlight w:val="none"/>
        </w:rPr>
        <w:t>2021年10月15日，河南省生态环境厅在郑州主持召开了《</w:t>
      </w:r>
      <w:bookmarkStart w:id="32" w:name="_Hlk120512614"/>
      <w:r>
        <w:rPr>
          <w:rFonts w:cs="Times New Roman"/>
          <w:color w:val="auto"/>
          <w:highlight w:val="none"/>
        </w:rPr>
        <w:t>生活垃圾焚烧</w:t>
      </w:r>
      <w:bookmarkEnd w:id="32"/>
      <w:r>
        <w:rPr>
          <w:rFonts w:cs="Times New Roman"/>
          <w:color w:val="auto"/>
          <w:highlight w:val="none"/>
        </w:rPr>
        <w:t>大气污染物排放标准》开题报告论证会。与会专家听取了标准编制组对《</w:t>
      </w:r>
      <w:bookmarkStart w:id="33" w:name="_Hlk120512625"/>
      <w:r>
        <w:rPr>
          <w:rFonts w:cs="Times New Roman"/>
          <w:color w:val="auto"/>
          <w:highlight w:val="none"/>
        </w:rPr>
        <w:t>生活垃圾焚烧</w:t>
      </w:r>
      <w:bookmarkEnd w:id="33"/>
      <w:r>
        <w:rPr>
          <w:rFonts w:cs="Times New Roman"/>
          <w:color w:val="auto"/>
          <w:highlight w:val="none"/>
        </w:rPr>
        <w:t>大气污染物排放标准开题报告》和《生活垃圾焚烧大气污染物排放标准（草案）》的汇报，一致通过该标准的开题论证，并对标准编制提出了建议和意见。</w:t>
      </w:r>
    </w:p>
    <w:p>
      <w:pPr>
        <w:ind w:firstLine="640"/>
        <w:rPr>
          <w:rFonts w:cs="Times New Roman"/>
          <w:color w:val="auto"/>
          <w:highlight w:val="none"/>
        </w:rPr>
      </w:pPr>
      <w:r>
        <w:rPr>
          <w:rFonts w:cs="Times New Roman"/>
          <w:color w:val="auto"/>
          <w:highlight w:val="none"/>
        </w:rPr>
        <w:t>（四）标准研究。2021年11月~2022年8月，编制组根据《生活垃圾焚烧大气污染物排放标准》开题论证会的专家意见和建议，进一步开展现场调研、数据收集和汇总分析工作，先后多次组织标准编制研讨、咨询、论证会，对标准的内容进行了集中研讨，以标准控制因子筛选、大气污染物排放标准限值确定为重点，对标准框架、控制因子、限值、标准实施的技术经济可行性及环境效益等标准主要技术内容进行深入研究，形成了《生活垃圾焚烧大气污染物排放标准》（征求意见稿）和《生活垃圾焚烧大气污染物排放标准编制说明》（征求意见稿）。</w:t>
      </w:r>
    </w:p>
    <w:p>
      <w:pPr>
        <w:ind w:firstLine="640"/>
        <w:rPr>
          <w:rFonts w:cs="Times New Roman"/>
          <w:color w:val="auto"/>
          <w:highlight w:val="none"/>
        </w:rPr>
      </w:pPr>
      <w:r>
        <w:rPr>
          <w:rFonts w:cs="Times New Roman"/>
          <w:color w:val="auto"/>
          <w:highlight w:val="none"/>
        </w:rPr>
        <w:t>（五）意见征集。</w:t>
      </w:r>
      <w:r>
        <w:rPr>
          <w:rFonts w:cs="Times New Roman"/>
          <w:color w:val="auto"/>
          <w:szCs w:val="32"/>
          <w:highlight w:val="none"/>
        </w:rPr>
        <w:t>2022年9月2日，编制组在河南省生态环境厅门户网站发布《关于征求&lt;</w:t>
      </w:r>
      <w:r>
        <w:rPr>
          <w:rFonts w:cs="Times New Roman"/>
          <w:color w:val="auto"/>
          <w:highlight w:val="none"/>
        </w:rPr>
        <w:t>生活垃圾焚烧大气</w:t>
      </w:r>
      <w:r>
        <w:rPr>
          <w:rFonts w:cs="Times New Roman"/>
          <w:color w:val="auto"/>
          <w:szCs w:val="32"/>
          <w:highlight w:val="none"/>
        </w:rPr>
        <w:t>污染物排放标准&gt;</w:t>
      </w:r>
      <w:r>
        <w:rPr>
          <w:rFonts w:hint="eastAsia" w:cs="Times New Roman"/>
          <w:color w:val="auto"/>
          <w:szCs w:val="32"/>
          <w:highlight w:val="none"/>
          <w:lang w:eastAsia="zh-CN"/>
        </w:rPr>
        <w:t>（</w:t>
      </w:r>
      <w:r>
        <w:rPr>
          <w:rFonts w:cs="Times New Roman"/>
          <w:color w:val="auto"/>
          <w:szCs w:val="32"/>
          <w:highlight w:val="none"/>
        </w:rPr>
        <w:t>征求意见稿</w:t>
      </w:r>
      <w:r>
        <w:rPr>
          <w:rFonts w:hint="eastAsia" w:cs="Times New Roman"/>
          <w:color w:val="auto"/>
          <w:szCs w:val="32"/>
          <w:highlight w:val="none"/>
          <w:lang w:eastAsia="zh-CN"/>
        </w:rPr>
        <w:t>）</w:t>
      </w:r>
      <w:r>
        <w:rPr>
          <w:rFonts w:cs="Times New Roman"/>
          <w:color w:val="auto"/>
          <w:szCs w:val="32"/>
          <w:highlight w:val="none"/>
        </w:rPr>
        <w:t>的公告》，面向社会公众公开征求意见，</w:t>
      </w:r>
      <w:r>
        <w:rPr>
          <w:rFonts w:cs="Times New Roman"/>
          <w:color w:val="auto"/>
          <w:highlight w:val="none"/>
        </w:rPr>
        <w:t>同时向各地市生态环境局、企业代表、厅内部各处室开展征求意见工作。</w:t>
      </w:r>
    </w:p>
    <w:p>
      <w:pPr>
        <w:ind w:firstLine="707" w:firstLineChars="221"/>
        <w:rPr>
          <w:rFonts w:cs="Times New Roman"/>
          <w:color w:val="auto"/>
          <w:szCs w:val="32"/>
          <w:highlight w:val="none"/>
        </w:rPr>
      </w:pPr>
      <w:r>
        <w:rPr>
          <w:rFonts w:cs="Times New Roman"/>
          <w:color w:val="auto"/>
          <w:szCs w:val="32"/>
          <w:highlight w:val="none"/>
        </w:rPr>
        <w:t>2022年9月19日，在省市场监督管理局《河南省地方标准公共服务平台》上</w:t>
      </w:r>
      <w:r>
        <w:rPr>
          <w:rFonts w:hint="eastAsia" w:cs="Times New Roman"/>
          <w:color w:val="auto"/>
          <w:szCs w:val="32"/>
          <w:highlight w:val="none"/>
          <w:lang w:val="en-US" w:eastAsia="zh-CN"/>
        </w:rPr>
        <w:t>开展</w:t>
      </w:r>
      <w:r>
        <w:rPr>
          <w:rFonts w:cs="Times New Roman"/>
          <w:color w:val="auto"/>
          <w:szCs w:val="32"/>
          <w:highlight w:val="none"/>
        </w:rPr>
        <w:t>30天的公开征求意见。</w:t>
      </w:r>
    </w:p>
    <w:p>
      <w:pPr>
        <w:ind w:firstLine="707" w:firstLineChars="221"/>
        <w:rPr>
          <w:rFonts w:cs="Times New Roman"/>
          <w:color w:val="auto"/>
          <w:szCs w:val="32"/>
          <w:highlight w:val="none"/>
        </w:rPr>
      </w:pPr>
      <w:r>
        <w:rPr>
          <w:rFonts w:cs="Times New Roman"/>
          <w:color w:val="auto"/>
          <w:szCs w:val="32"/>
          <w:highlight w:val="none"/>
        </w:rPr>
        <w:t>2022年11月8日，生态环境厅致函生态环境部、各省辖市人民政府、省发展改革委、工业和信息化厅、住房城乡建设厅等单位征求意见</w:t>
      </w:r>
      <w:bookmarkStart w:id="34" w:name="_Hlk120632497"/>
      <w:r>
        <w:rPr>
          <w:rFonts w:cs="Times New Roman"/>
          <w:color w:val="auto"/>
          <w:szCs w:val="32"/>
          <w:highlight w:val="none"/>
        </w:rPr>
        <w:t>。</w:t>
      </w:r>
      <w:bookmarkEnd w:id="34"/>
    </w:p>
    <w:p>
      <w:pPr>
        <w:ind w:firstLine="640"/>
        <w:rPr>
          <w:rFonts w:cs="Times New Roman"/>
          <w:color w:val="auto"/>
          <w:szCs w:val="32"/>
          <w:highlight w:val="none"/>
        </w:rPr>
      </w:pPr>
      <w:r>
        <w:rPr>
          <w:rFonts w:hint="eastAsia" w:cs="Times New Roman"/>
          <w:color w:val="auto"/>
          <w:szCs w:val="32"/>
          <w:highlight w:val="none"/>
        </w:rPr>
        <w:t>共收到修改意见和建议</w:t>
      </w:r>
      <w:r>
        <w:rPr>
          <w:rFonts w:hint="eastAsia" w:cs="Times New Roman"/>
          <w:color w:val="auto"/>
          <w:szCs w:val="32"/>
          <w:highlight w:val="none"/>
          <w:lang w:val="en-US" w:eastAsia="zh-CN"/>
        </w:rPr>
        <w:t>88</w:t>
      </w:r>
      <w:r>
        <w:rPr>
          <w:rFonts w:hint="eastAsia" w:cs="Times New Roman"/>
          <w:color w:val="auto"/>
          <w:szCs w:val="32"/>
          <w:highlight w:val="none"/>
        </w:rPr>
        <w:t>条，其中无意见</w:t>
      </w:r>
      <w:r>
        <w:rPr>
          <w:rFonts w:hint="eastAsia" w:cs="Times New Roman"/>
          <w:color w:val="auto"/>
          <w:szCs w:val="32"/>
          <w:highlight w:val="none"/>
          <w:lang w:val="en-US" w:eastAsia="zh-CN"/>
        </w:rPr>
        <w:t>17</w:t>
      </w:r>
      <w:r>
        <w:rPr>
          <w:rFonts w:hint="eastAsia" w:cs="Times New Roman"/>
          <w:color w:val="auto"/>
          <w:szCs w:val="32"/>
          <w:highlight w:val="none"/>
        </w:rPr>
        <w:t>条，有效意见</w:t>
      </w:r>
      <w:r>
        <w:rPr>
          <w:rFonts w:hint="eastAsia" w:cs="Times New Roman"/>
          <w:color w:val="auto"/>
          <w:szCs w:val="32"/>
          <w:highlight w:val="none"/>
          <w:lang w:val="en-US" w:eastAsia="zh-CN"/>
        </w:rPr>
        <w:t>71</w:t>
      </w:r>
      <w:r>
        <w:rPr>
          <w:rFonts w:hint="eastAsia" w:cs="Times New Roman"/>
          <w:color w:val="auto"/>
          <w:szCs w:val="32"/>
          <w:highlight w:val="none"/>
        </w:rPr>
        <w:t>条。经研究后，采纳或部分采纳</w:t>
      </w:r>
      <w:r>
        <w:rPr>
          <w:rFonts w:hint="eastAsia" w:cs="Times New Roman"/>
          <w:color w:val="auto"/>
          <w:szCs w:val="32"/>
          <w:highlight w:val="none"/>
          <w:lang w:val="en-US" w:eastAsia="zh-CN"/>
        </w:rPr>
        <w:t>66</w:t>
      </w:r>
      <w:r>
        <w:rPr>
          <w:rFonts w:hint="eastAsia" w:cs="Times New Roman"/>
          <w:color w:val="auto"/>
          <w:szCs w:val="32"/>
          <w:highlight w:val="none"/>
        </w:rPr>
        <w:t>条，未采纳</w:t>
      </w:r>
      <w:r>
        <w:rPr>
          <w:rFonts w:hint="eastAsia" w:cs="Times New Roman"/>
          <w:color w:val="auto"/>
          <w:szCs w:val="32"/>
          <w:highlight w:val="none"/>
          <w:lang w:val="en-US" w:eastAsia="zh-CN"/>
        </w:rPr>
        <w:t>5</w:t>
      </w:r>
      <w:r>
        <w:rPr>
          <w:rFonts w:hint="eastAsia" w:cs="Times New Roman"/>
          <w:color w:val="auto"/>
          <w:szCs w:val="32"/>
          <w:highlight w:val="none"/>
        </w:rPr>
        <w:t>条</w:t>
      </w:r>
      <w:r>
        <w:rPr>
          <w:rFonts w:cs="Times New Roman"/>
          <w:color w:val="auto"/>
          <w:szCs w:val="32"/>
          <w:highlight w:val="none"/>
        </w:rPr>
        <w:t>。</w:t>
      </w:r>
    </w:p>
    <w:p>
      <w:pPr>
        <w:ind w:firstLine="640"/>
        <w:rPr>
          <w:rFonts w:cs="Times New Roman"/>
          <w:color w:val="auto"/>
          <w:highlight w:val="none"/>
        </w:rPr>
      </w:pPr>
      <w:r>
        <w:rPr>
          <w:rFonts w:cs="Times New Roman"/>
          <w:color w:val="auto"/>
          <w:highlight w:val="none"/>
        </w:rPr>
        <w:t>（六）技术论证。2022年11月3日，</w:t>
      </w:r>
      <w:r>
        <w:rPr>
          <w:rFonts w:hint="eastAsia"/>
          <w:color w:val="auto"/>
          <w:highlight w:val="none"/>
        </w:rPr>
        <w:t>召开了标准征求意见稿专家技术论证会，</w:t>
      </w:r>
      <w:r>
        <w:rPr>
          <w:rFonts w:cs="Times New Roman"/>
          <w:color w:val="auto"/>
          <w:highlight w:val="none"/>
        </w:rPr>
        <w:t>与会专家听取了标准编制组对《生活垃圾焚烧大气污染物排放标准》</w:t>
      </w:r>
      <w:bookmarkStart w:id="35" w:name="_Hlk120514224"/>
      <w:r>
        <w:rPr>
          <w:rFonts w:cs="Times New Roman"/>
          <w:color w:val="auto"/>
          <w:highlight w:val="none"/>
        </w:rPr>
        <w:t>（征求意见稿）</w:t>
      </w:r>
      <w:bookmarkEnd w:id="35"/>
      <w:r>
        <w:rPr>
          <w:rFonts w:cs="Times New Roman"/>
          <w:color w:val="auto"/>
          <w:highlight w:val="none"/>
        </w:rPr>
        <w:t>、《生活垃圾焚烧大气污染物排放标准编制说明》（征求意见稿）和标准征求意见处理情况的汇报，与会专家一致通过该标准的技术论证，并对标准编制提出了修改意见建议。</w:t>
      </w:r>
    </w:p>
    <w:p>
      <w:pPr>
        <w:spacing w:line="360" w:lineRule="auto"/>
        <w:ind w:firstLine="640"/>
        <w:rPr>
          <w:rFonts w:cs="Times New Roman"/>
          <w:color w:val="auto"/>
          <w:highlight w:val="none"/>
        </w:rPr>
      </w:pPr>
      <w:r>
        <w:rPr>
          <w:rFonts w:cs="Times New Roman"/>
          <w:color w:val="auto"/>
          <w:highlight w:val="none"/>
        </w:rPr>
        <w:t>会后，标准编制组又进一步和生态环境部标准编制所相关专家、生活垃圾焚烧企业等相关单位进行充分沟通和论证氨排放限值的确定。由于垃圾成分复杂，不同成分垃圾进入焚烧炉对燃烧影响比较大，导致氮氧化物排放瞬时值较高，为确保氮氧化物达标排放，企业会加大喷氨量导致个别时段氨排放小时均值浓度偏高</w:t>
      </w:r>
      <w:bookmarkStart w:id="36" w:name="_Hlk120517646"/>
      <w:r>
        <w:rPr>
          <w:rFonts w:cs="Times New Roman"/>
          <w:color w:val="auto"/>
          <w:highlight w:val="none"/>
        </w:rPr>
        <w:t>。</w:t>
      </w:r>
      <w:bookmarkEnd w:id="36"/>
      <w:r>
        <w:rPr>
          <w:rFonts w:cs="Times New Roman"/>
          <w:color w:val="auto"/>
          <w:highlight w:val="none"/>
        </w:rPr>
        <w:t>编制组结合现有污染防治技术、企业生产和氨排放现状、环境管理现状，决定将氨的小时均值由</w:t>
      </w:r>
      <w:bookmarkStart w:id="37" w:name="_Hlk120517554"/>
      <w:r>
        <w:rPr>
          <w:rFonts w:cs="Times New Roman"/>
          <w:color w:val="auto"/>
          <w:highlight w:val="none"/>
        </w:rPr>
        <w:t>8</w:t>
      </w:r>
      <w:r>
        <w:rPr>
          <w:rFonts w:cs="Times New Roman"/>
          <w:color w:val="auto"/>
          <w:szCs w:val="32"/>
          <w:highlight w:val="none"/>
        </w:rPr>
        <w:t>mg/m</w:t>
      </w:r>
      <w:r>
        <w:rPr>
          <w:rFonts w:cs="Times New Roman"/>
          <w:color w:val="auto"/>
          <w:szCs w:val="32"/>
          <w:highlight w:val="none"/>
          <w:vertAlign w:val="superscript"/>
        </w:rPr>
        <w:t>3</w:t>
      </w:r>
      <w:bookmarkEnd w:id="37"/>
      <w:r>
        <w:rPr>
          <w:rFonts w:cs="Times New Roman"/>
          <w:color w:val="auto"/>
          <w:highlight w:val="none"/>
        </w:rPr>
        <w:t>放宽到</w:t>
      </w:r>
      <w:r>
        <w:rPr>
          <w:rFonts w:hint="eastAsia" w:cs="Times New Roman"/>
          <w:color w:val="auto"/>
          <w:highlight w:val="none"/>
          <w:lang w:val="en-US" w:eastAsia="zh-CN"/>
        </w:rPr>
        <w:t>12</w:t>
      </w:r>
      <w:r>
        <w:rPr>
          <w:rFonts w:cs="Times New Roman"/>
          <w:color w:val="auto"/>
          <w:szCs w:val="32"/>
          <w:highlight w:val="none"/>
        </w:rPr>
        <w:t xml:space="preserve"> mg/m</w:t>
      </w:r>
      <w:r>
        <w:rPr>
          <w:rFonts w:cs="Times New Roman"/>
          <w:color w:val="auto"/>
          <w:szCs w:val="32"/>
          <w:highlight w:val="none"/>
          <w:vertAlign w:val="superscript"/>
        </w:rPr>
        <w:t>3</w:t>
      </w:r>
      <w:r>
        <w:rPr>
          <w:rFonts w:cs="Times New Roman"/>
          <w:color w:val="auto"/>
          <w:highlight w:val="none"/>
        </w:rPr>
        <w:t>、增加氨的日均值排放限值为8</w:t>
      </w:r>
      <w:r>
        <w:rPr>
          <w:rFonts w:cs="Times New Roman"/>
          <w:color w:val="auto"/>
          <w:szCs w:val="32"/>
          <w:highlight w:val="none"/>
        </w:rPr>
        <w:t>mg/m</w:t>
      </w:r>
      <w:r>
        <w:rPr>
          <w:rFonts w:cs="Times New Roman"/>
          <w:color w:val="auto"/>
          <w:szCs w:val="32"/>
          <w:highlight w:val="none"/>
          <w:vertAlign w:val="superscript"/>
        </w:rPr>
        <w:t>3</w:t>
      </w:r>
      <w:r>
        <w:rPr>
          <w:rFonts w:cs="Times New Roman"/>
          <w:color w:val="auto"/>
          <w:highlight w:val="none"/>
        </w:rPr>
        <w:t>，这样做</w:t>
      </w:r>
      <w:r>
        <w:rPr>
          <w:rFonts w:hint="eastAsia" w:cs="Times New Roman"/>
          <w:color w:val="auto"/>
          <w:highlight w:val="none"/>
          <w:lang w:val="en-US" w:eastAsia="zh-CN"/>
        </w:rPr>
        <w:t>既</w:t>
      </w:r>
      <w:r>
        <w:rPr>
          <w:rFonts w:cs="Times New Roman"/>
          <w:color w:val="auto"/>
          <w:highlight w:val="none"/>
        </w:rPr>
        <w:t>可以控制生活垃圾焚烧企业每日氨排放总量</w:t>
      </w:r>
      <w:r>
        <w:rPr>
          <w:rFonts w:hint="eastAsia" w:cs="Times New Roman"/>
          <w:color w:val="auto"/>
          <w:highlight w:val="none"/>
          <w:lang w:val="en-US" w:eastAsia="zh-CN"/>
        </w:rPr>
        <w:t>又</w:t>
      </w:r>
      <w:r>
        <w:rPr>
          <w:rFonts w:cs="Times New Roman"/>
          <w:color w:val="auto"/>
          <w:highlight w:val="none"/>
        </w:rPr>
        <w:t>不给企业增加经营压力，提高了标准实施的可行性，在全国也是个创新。</w:t>
      </w:r>
    </w:p>
    <w:p>
      <w:pPr>
        <w:ind w:firstLine="640"/>
        <w:rPr>
          <w:rFonts w:cs="Times New Roman"/>
          <w:color w:val="auto"/>
          <w:highlight w:val="none"/>
        </w:rPr>
      </w:pPr>
      <w:r>
        <w:rPr>
          <w:rFonts w:cs="Times New Roman"/>
          <w:color w:val="auto"/>
          <w:highlight w:val="none"/>
        </w:rPr>
        <w:t>标准编制组根据专家意见和建议对标准文本和编制说明进一步修改完善，形成了《生活垃圾焚烧大气污染物排放标准》文本和编制说明（送审稿）。</w:t>
      </w:r>
    </w:p>
    <w:p>
      <w:pPr>
        <w:numPr>
          <w:ilvl w:val="0"/>
          <w:numId w:val="3"/>
        </w:numPr>
        <w:ind w:firstLine="640"/>
        <w:rPr>
          <w:rFonts w:hint="eastAsia"/>
          <w:color w:val="auto"/>
          <w:highlight w:val="none"/>
        </w:rPr>
      </w:pPr>
      <w:r>
        <w:rPr>
          <w:rFonts w:hint="eastAsia"/>
          <w:color w:val="auto"/>
          <w:highlight w:val="none"/>
          <w:lang w:val="en-US" w:eastAsia="zh-CN"/>
        </w:rPr>
        <w:t>标准审查。</w:t>
      </w:r>
      <w:r>
        <w:rPr>
          <w:rFonts w:hint="eastAsia"/>
          <w:color w:val="auto"/>
          <w:highlight w:val="none"/>
        </w:rPr>
        <w:t>202</w:t>
      </w:r>
      <w:r>
        <w:rPr>
          <w:rFonts w:hint="eastAsia"/>
          <w:color w:val="auto"/>
          <w:highlight w:val="none"/>
          <w:lang w:val="en-US" w:eastAsia="zh-CN"/>
        </w:rPr>
        <w:t>2</w:t>
      </w:r>
      <w:r>
        <w:rPr>
          <w:rFonts w:hint="eastAsia"/>
          <w:color w:val="auto"/>
          <w:highlight w:val="none"/>
        </w:rPr>
        <w:t>年</w:t>
      </w:r>
      <w:r>
        <w:rPr>
          <w:rFonts w:hint="eastAsia"/>
          <w:color w:val="auto"/>
          <w:highlight w:val="none"/>
          <w:lang w:val="en-US" w:eastAsia="zh-CN"/>
        </w:rPr>
        <w:t>12</w:t>
      </w:r>
      <w:r>
        <w:rPr>
          <w:rFonts w:hint="eastAsia"/>
          <w:color w:val="auto"/>
          <w:highlight w:val="none"/>
        </w:rPr>
        <w:t>月</w:t>
      </w:r>
      <w:r>
        <w:rPr>
          <w:rFonts w:hint="eastAsia"/>
          <w:color w:val="auto"/>
          <w:highlight w:val="none"/>
          <w:lang w:val="en-US" w:eastAsia="zh-CN"/>
        </w:rPr>
        <w:t>28</w:t>
      </w:r>
      <w:r>
        <w:rPr>
          <w:rFonts w:hint="eastAsia"/>
          <w:color w:val="auto"/>
          <w:highlight w:val="none"/>
        </w:rPr>
        <w:t>日，省市场监督管理局组织召开标准审查会，本标准通过了专家审查。根据审查会专家意见进行了修改完善，</w:t>
      </w:r>
      <w:r>
        <w:rPr>
          <w:color w:val="auto"/>
          <w:highlight w:val="none"/>
        </w:rPr>
        <w:t>形成</w:t>
      </w:r>
      <w:r>
        <w:rPr>
          <w:rFonts w:hint="eastAsia"/>
          <w:color w:val="auto"/>
          <w:highlight w:val="none"/>
          <w:lang w:val="en-US" w:eastAsia="zh-CN"/>
        </w:rPr>
        <w:t xml:space="preserve">了 </w:t>
      </w:r>
      <w:r>
        <w:rPr>
          <w:rFonts w:cs="Times New Roman"/>
          <w:color w:val="auto"/>
          <w:highlight w:val="none"/>
        </w:rPr>
        <w:t>《生活垃圾焚烧大气污染物排放标准》文本和编制说明</w:t>
      </w:r>
      <w:r>
        <w:rPr>
          <w:color w:val="auto"/>
          <w:highlight w:val="none"/>
        </w:rPr>
        <w:t>（报批稿）</w:t>
      </w:r>
      <w:r>
        <w:rPr>
          <w:rFonts w:hint="eastAsia"/>
          <w:color w:val="auto"/>
          <w:highlight w:val="none"/>
        </w:rPr>
        <w:t>。</w:t>
      </w:r>
    </w:p>
    <w:p>
      <w:pPr>
        <w:widowControl w:val="0"/>
        <w:numPr>
          <w:ilvl w:val="0"/>
          <w:numId w:val="0"/>
        </w:numPr>
        <w:jc w:val="both"/>
        <w:rPr>
          <w:rFonts w:hint="eastAsia" w:eastAsia="仿宋_GB2312"/>
          <w:color w:val="auto"/>
          <w:highlight w:val="none"/>
          <w:lang w:val="en-US" w:eastAsia="zh-CN"/>
        </w:rPr>
      </w:pPr>
      <w:r>
        <w:rPr>
          <w:rFonts w:hint="eastAsia"/>
          <w:color w:val="auto"/>
          <w:highlight w:val="none"/>
          <w:lang w:val="en-US" w:eastAsia="zh-CN"/>
        </w:rPr>
        <w:t xml:space="preserve">    （八）二次意见征集。2023年6月21日，生态环境部意见反馈，结合其意见，对文本进行了修改，并召开了讨论会，形成了</w:t>
      </w:r>
      <w:r>
        <w:rPr>
          <w:rFonts w:cs="Times New Roman"/>
          <w:color w:val="auto"/>
          <w:highlight w:val="none"/>
        </w:rPr>
        <w:t>《生活垃圾焚烧大气污染物排放标准》文本和编制说明</w:t>
      </w:r>
      <w:r>
        <w:rPr>
          <w:color w:val="auto"/>
          <w:highlight w:val="none"/>
        </w:rPr>
        <w:t>（</w:t>
      </w:r>
      <w:r>
        <w:rPr>
          <w:rFonts w:hint="eastAsia"/>
          <w:color w:val="auto"/>
          <w:highlight w:val="none"/>
          <w:lang w:val="en-US" w:eastAsia="zh-CN"/>
        </w:rPr>
        <w:t>二次征求意见稿</w:t>
      </w:r>
      <w:r>
        <w:rPr>
          <w:color w:val="auto"/>
          <w:highlight w:val="none"/>
        </w:rPr>
        <w:t>）</w:t>
      </w:r>
      <w:r>
        <w:rPr>
          <w:rFonts w:hint="eastAsia"/>
          <w:color w:val="auto"/>
          <w:highlight w:val="none"/>
          <w:lang w:eastAsia="zh-CN"/>
        </w:rPr>
        <w:t>。</w:t>
      </w:r>
      <w:r>
        <w:rPr>
          <w:rFonts w:hint="eastAsia"/>
          <w:color w:val="auto"/>
          <w:highlight w:val="none"/>
          <w:lang w:val="en-US" w:eastAsia="zh-CN"/>
        </w:rPr>
        <w:t>2023年8月18日，</w:t>
      </w:r>
      <w:r>
        <w:rPr>
          <w:rFonts w:cs="Times New Roman"/>
          <w:color w:val="auto"/>
          <w:highlight w:val="none"/>
        </w:rPr>
        <w:t>向各地市生态环境局、企业代表开展征求意见工作。</w:t>
      </w:r>
    </w:p>
    <w:p>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仿宋_GB2312" w:cs="Times New Roman"/>
          <w:color w:val="auto"/>
          <w:kern w:val="2"/>
          <w:szCs w:val="22"/>
          <w:highlight w:val="none"/>
          <w:lang w:val="en-US" w:eastAsia="zh-CN"/>
        </w:rPr>
      </w:pPr>
      <w:bookmarkStart w:id="38" w:name="_Hlk120535896"/>
      <w:bookmarkStart w:id="39" w:name="_Toc17171"/>
      <w:bookmarkStart w:id="40" w:name="_Toc335320675"/>
      <w:r>
        <w:rPr>
          <w:rFonts w:hint="default" w:ascii="Times New Roman" w:hAnsi="Times New Roman" w:eastAsia="仿宋_GB2312" w:cs="Times New Roman"/>
          <w:color w:val="auto"/>
          <w:kern w:val="2"/>
          <w:szCs w:val="22"/>
          <w:highlight w:val="none"/>
          <w:lang w:val="en-US" w:eastAsia="zh-CN"/>
        </w:rPr>
        <w:t>4.</w:t>
      </w:r>
      <w:bookmarkEnd w:id="38"/>
      <w:r>
        <w:rPr>
          <w:rFonts w:hint="default" w:ascii="Times New Roman" w:hAnsi="Times New Roman" w:eastAsia="仿宋_GB2312" w:cs="Times New Roman"/>
          <w:color w:val="auto"/>
          <w:kern w:val="2"/>
          <w:szCs w:val="22"/>
          <w:highlight w:val="none"/>
          <w:lang w:val="en-US" w:eastAsia="zh-CN"/>
        </w:rPr>
        <w:t>生活垃圾焚烧企业现状</w:t>
      </w:r>
      <w:bookmarkEnd w:id="39"/>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41" w:name="_Toc29157"/>
      <w:bookmarkStart w:id="42" w:name="_Hlk120522225"/>
      <w:r>
        <w:rPr>
          <w:rFonts w:ascii="Times New Roman" w:hAnsi="Times New Roman" w:eastAsia="仿宋_GB2312" w:cs="Times New Roman"/>
          <w:b/>
          <w:bCs/>
          <w:color w:val="auto"/>
          <w:szCs w:val="22"/>
          <w:highlight w:val="none"/>
        </w:rPr>
        <w:t>4.1</w:t>
      </w:r>
      <w:r>
        <w:rPr>
          <w:rFonts w:hint="eastAsia" w:eastAsia="仿宋_GB2312" w:cs="Times New Roman"/>
          <w:b/>
          <w:bCs/>
          <w:color w:val="auto"/>
          <w:szCs w:val="22"/>
          <w:highlight w:val="none"/>
          <w:lang w:val="en-US" w:eastAsia="zh-CN"/>
        </w:rPr>
        <w:t xml:space="preserve"> </w:t>
      </w:r>
      <w:r>
        <w:rPr>
          <w:rFonts w:ascii="Times New Roman" w:hAnsi="Times New Roman" w:eastAsia="仿宋_GB2312" w:cs="Times New Roman"/>
          <w:b/>
          <w:bCs/>
          <w:color w:val="auto"/>
          <w:szCs w:val="22"/>
          <w:highlight w:val="none"/>
        </w:rPr>
        <w:t>基本情况</w:t>
      </w:r>
      <w:bookmarkEnd w:id="41"/>
    </w:p>
    <w:bookmarkEnd w:id="42"/>
    <w:p>
      <w:pPr>
        <w:pStyle w:val="4"/>
        <w:spacing w:before="156" w:after="156"/>
        <w:ind w:left="0" w:leftChars="0" w:firstLine="0" w:firstLineChars="0"/>
        <w:rPr>
          <w:rFonts w:eastAsia="仿宋_GB2312" w:cs="Times New Roman"/>
          <w:b/>
          <w:bCs/>
          <w:color w:val="auto"/>
          <w:szCs w:val="22"/>
          <w:highlight w:val="none"/>
        </w:rPr>
      </w:pPr>
      <w:bookmarkStart w:id="43" w:name="_Toc11739"/>
      <w:bookmarkStart w:id="44" w:name="_Toc21166"/>
      <w:bookmarkStart w:id="45" w:name="_Toc12688"/>
      <w:bookmarkStart w:id="46" w:name="_Hlk120521609"/>
      <w:r>
        <w:rPr>
          <w:rFonts w:eastAsia="仿宋_GB2312" w:cs="Times New Roman"/>
          <w:b/>
          <w:bCs/>
          <w:color w:val="auto"/>
          <w:szCs w:val="22"/>
          <w:highlight w:val="none"/>
        </w:rPr>
        <w:t>4.1.1</w:t>
      </w:r>
      <w:r>
        <w:rPr>
          <w:rFonts w:hint="eastAsia" w:eastAsia="仿宋_GB2312" w:cs="Times New Roman"/>
          <w:b/>
          <w:bCs/>
          <w:color w:val="auto"/>
          <w:szCs w:val="22"/>
          <w:highlight w:val="none"/>
          <w:lang w:val="en-US" w:eastAsia="zh-CN"/>
        </w:rPr>
        <w:t xml:space="preserve"> </w:t>
      </w:r>
      <w:r>
        <w:rPr>
          <w:rFonts w:eastAsia="仿宋_GB2312" w:cs="Times New Roman"/>
          <w:b/>
          <w:bCs/>
          <w:color w:val="auto"/>
          <w:szCs w:val="22"/>
          <w:highlight w:val="none"/>
        </w:rPr>
        <w:t>生产和分布状况</w:t>
      </w:r>
      <w:bookmarkEnd w:id="43"/>
      <w:bookmarkEnd w:id="44"/>
      <w:bookmarkEnd w:id="45"/>
    </w:p>
    <w:bookmarkEnd w:id="46"/>
    <w:p>
      <w:pPr>
        <w:ind w:firstLine="640"/>
        <w:rPr>
          <w:rFonts w:cs="Times New Roman"/>
          <w:color w:val="auto"/>
          <w:highlight w:val="none"/>
        </w:rPr>
      </w:pPr>
      <w:r>
        <w:rPr>
          <w:rFonts w:cs="Times New Roman"/>
          <w:color w:val="auto"/>
          <w:highlight w:val="none"/>
        </w:rPr>
        <w:t>根据河南省生活垃圾焚烧企业在线</w:t>
      </w:r>
      <w:r>
        <w:rPr>
          <w:rFonts w:hint="eastAsia" w:cs="Times New Roman"/>
          <w:color w:val="auto"/>
          <w:highlight w:val="none"/>
          <w:lang w:val="en-US" w:eastAsia="zh-CN"/>
        </w:rPr>
        <w:t>监控</w:t>
      </w:r>
      <w:r>
        <w:rPr>
          <w:rFonts w:cs="Times New Roman"/>
          <w:color w:val="auto"/>
          <w:highlight w:val="none"/>
        </w:rPr>
        <w:t>、排污许可及相关环境管理数据，截至到2022年9月，全省已建成运行生活垃圾焚烧企业共64家，总设计处理规模为6.597万吨/日，实际处理能力为6.447万吨/日；除郑州市荥锦绿色环保能源有限公司为硫化床锅炉外，其余63家均为机械炉排炉，已建成生活垃圾焚烧企业分布于全省18个省辖市。生活垃圾焚烧企业数量较多的省辖市分别为：周口8个、驻马店7个、商丘6个、洛阳5个。实际处理能力较大的省辖市为郑州1.055万吨/日，远高于其他地市生活垃圾日处理规模，占全省比例为15.45%。详见表4.1-1及图4.1-1。</w:t>
      </w:r>
    </w:p>
    <w:p>
      <w:pPr>
        <w:spacing w:before="156" w:beforeLines="50" w:after="156" w:afterLines="50"/>
        <w:ind w:left="0" w:leftChars="0" w:firstLine="0" w:firstLineChars="0"/>
        <w:jc w:val="left"/>
        <w:rPr>
          <w:rFonts w:cs="Times New Roman"/>
          <w:b/>
          <w:bCs/>
          <w:color w:val="auto"/>
          <w:szCs w:val="32"/>
          <w:highlight w:val="none"/>
        </w:rPr>
      </w:pPr>
      <w:r>
        <w:rPr>
          <w:rFonts w:cs="Times New Roman"/>
          <w:b/>
          <w:bCs/>
          <w:color w:val="auto"/>
          <w:szCs w:val="32"/>
          <w:highlight w:val="none"/>
        </w:rPr>
        <w:t>表4.1-1    河南省已建设生活垃圾焚烧企业分布情况</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2"/>
        <w:gridCol w:w="2191"/>
        <w:gridCol w:w="2371"/>
        <w:gridCol w:w="2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blHeader/>
        </w:trPr>
        <w:tc>
          <w:tcPr>
            <w:tcW w:w="735" w:type="pct"/>
            <w:shd w:val="clear" w:color="auto" w:fill="auto"/>
            <w:noWrap/>
            <w:vAlign w:val="center"/>
          </w:tcPr>
          <w:p>
            <w:pPr>
              <w:widowControl/>
              <w:ind w:firstLine="0" w:firstLineChars="0"/>
              <w:jc w:val="center"/>
              <w:rPr>
                <w:rFonts w:cs="Times New Roman"/>
                <w:b/>
                <w:bCs/>
                <w:color w:val="auto"/>
                <w:kern w:val="0"/>
                <w:sz w:val="24"/>
                <w:szCs w:val="24"/>
                <w:highlight w:val="none"/>
              </w:rPr>
            </w:pPr>
            <w:r>
              <w:rPr>
                <w:rFonts w:cs="Times New Roman"/>
                <w:b/>
                <w:bCs/>
                <w:color w:val="auto"/>
                <w:kern w:val="0"/>
                <w:sz w:val="24"/>
                <w:szCs w:val="24"/>
                <w:highlight w:val="none"/>
              </w:rPr>
              <w:t>城市</w:t>
            </w:r>
          </w:p>
        </w:tc>
        <w:tc>
          <w:tcPr>
            <w:tcW w:w="1285" w:type="pct"/>
            <w:shd w:val="clear" w:color="auto" w:fill="auto"/>
            <w:vAlign w:val="center"/>
          </w:tcPr>
          <w:p>
            <w:pPr>
              <w:widowControl/>
              <w:adjustRightInd w:val="0"/>
              <w:snapToGrid w:val="0"/>
              <w:ind w:firstLine="0" w:firstLineChars="0"/>
              <w:jc w:val="center"/>
              <w:rPr>
                <w:rFonts w:cs="Times New Roman"/>
                <w:b/>
                <w:bCs/>
                <w:color w:val="auto"/>
                <w:kern w:val="0"/>
                <w:sz w:val="24"/>
                <w:szCs w:val="24"/>
                <w:highlight w:val="none"/>
              </w:rPr>
            </w:pPr>
            <w:r>
              <w:rPr>
                <w:rFonts w:cs="Times New Roman"/>
                <w:b/>
                <w:bCs/>
                <w:color w:val="auto"/>
                <w:kern w:val="0"/>
                <w:sz w:val="24"/>
                <w:szCs w:val="24"/>
                <w:highlight w:val="none"/>
              </w:rPr>
              <w:t>生活垃圾焚烧企业数量（个）</w:t>
            </w:r>
          </w:p>
        </w:tc>
        <w:tc>
          <w:tcPr>
            <w:tcW w:w="1390" w:type="pct"/>
            <w:shd w:val="clear" w:color="auto" w:fill="auto"/>
            <w:vAlign w:val="center"/>
          </w:tcPr>
          <w:p>
            <w:pPr>
              <w:widowControl/>
              <w:adjustRightInd w:val="0"/>
              <w:snapToGrid w:val="0"/>
              <w:ind w:firstLine="0" w:firstLineChars="0"/>
              <w:jc w:val="center"/>
              <w:rPr>
                <w:rFonts w:cs="Times New Roman"/>
                <w:b/>
                <w:bCs/>
                <w:color w:val="auto"/>
                <w:kern w:val="0"/>
                <w:sz w:val="24"/>
                <w:szCs w:val="24"/>
                <w:highlight w:val="none"/>
              </w:rPr>
            </w:pPr>
            <w:r>
              <w:rPr>
                <w:rFonts w:cs="Times New Roman"/>
                <w:b/>
                <w:bCs/>
                <w:color w:val="auto"/>
                <w:kern w:val="0"/>
                <w:sz w:val="24"/>
                <w:szCs w:val="24"/>
                <w:highlight w:val="none"/>
              </w:rPr>
              <w:t>设计生产能力</w:t>
            </w:r>
          </w:p>
          <w:p>
            <w:pPr>
              <w:widowControl/>
              <w:adjustRightInd w:val="0"/>
              <w:snapToGrid w:val="0"/>
              <w:ind w:firstLine="0" w:firstLineChars="0"/>
              <w:jc w:val="center"/>
              <w:rPr>
                <w:rFonts w:cs="Times New Roman"/>
                <w:b/>
                <w:bCs/>
                <w:color w:val="auto"/>
                <w:kern w:val="0"/>
                <w:sz w:val="24"/>
                <w:szCs w:val="24"/>
                <w:highlight w:val="none"/>
              </w:rPr>
            </w:pPr>
            <w:r>
              <w:rPr>
                <w:rFonts w:cs="Times New Roman"/>
                <w:b/>
                <w:bCs/>
                <w:color w:val="auto"/>
                <w:kern w:val="0"/>
                <w:sz w:val="24"/>
                <w:szCs w:val="24"/>
                <w:highlight w:val="none"/>
              </w:rPr>
              <w:t>（吨/日）</w:t>
            </w:r>
          </w:p>
        </w:tc>
        <w:tc>
          <w:tcPr>
            <w:tcW w:w="1588" w:type="pct"/>
            <w:shd w:val="clear" w:color="auto" w:fill="auto"/>
            <w:vAlign w:val="center"/>
          </w:tcPr>
          <w:p>
            <w:pPr>
              <w:ind w:firstLine="0" w:firstLineChars="0"/>
              <w:jc w:val="center"/>
              <w:rPr>
                <w:rFonts w:cs="Times New Roman"/>
                <w:b/>
                <w:bCs/>
                <w:color w:val="auto"/>
                <w:kern w:val="0"/>
                <w:sz w:val="24"/>
                <w:szCs w:val="24"/>
                <w:highlight w:val="none"/>
              </w:rPr>
            </w:pPr>
            <w:r>
              <w:rPr>
                <w:rFonts w:cs="Times New Roman"/>
                <w:b/>
                <w:bCs/>
                <w:color w:val="auto"/>
                <w:kern w:val="0"/>
                <w:sz w:val="24"/>
                <w:szCs w:val="24"/>
                <w:highlight w:val="none"/>
              </w:rPr>
              <w:t>实际处理能力</w:t>
            </w:r>
          </w:p>
          <w:p>
            <w:pPr>
              <w:widowControl/>
              <w:adjustRightInd w:val="0"/>
              <w:snapToGrid w:val="0"/>
              <w:ind w:firstLine="0" w:firstLineChars="0"/>
              <w:jc w:val="center"/>
              <w:rPr>
                <w:rFonts w:cs="Times New Roman"/>
                <w:b/>
                <w:bCs/>
                <w:color w:val="auto"/>
                <w:kern w:val="0"/>
                <w:sz w:val="24"/>
                <w:szCs w:val="24"/>
                <w:highlight w:val="none"/>
              </w:rPr>
            </w:pPr>
            <w:r>
              <w:rPr>
                <w:rFonts w:cs="Times New Roman"/>
                <w:b/>
                <w:bCs/>
                <w:color w:val="auto"/>
                <w:kern w:val="0"/>
                <w:sz w:val="24"/>
                <w:szCs w:val="24"/>
                <w:highlight w:val="none"/>
              </w:rPr>
              <w:t>（吨/日）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郑州</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5</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10550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10550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开封</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4</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3450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3450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洛阳</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5</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6000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5100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平顶山</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4</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4200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安阳</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3</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3750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3750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鹤壁</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1000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新乡</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4</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3700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焦作</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2000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濮阳</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3</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2200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许昌</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2250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2250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漯河</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1500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三门峡</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1500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南阳</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5</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4700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商丘</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6</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3950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3950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信阳</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4</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4220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4220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周口</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8</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5800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5800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驻马店</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7</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4600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济源</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1</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600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35" w:type="pct"/>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cs="Times New Roman"/>
                <w:color w:val="auto"/>
                <w:kern w:val="0"/>
                <w:sz w:val="24"/>
                <w:szCs w:val="24"/>
                <w:highlight w:val="none"/>
                <w:lang w:bidi="ar"/>
              </w:rPr>
              <w:t>合计</w:t>
            </w:r>
          </w:p>
        </w:tc>
        <w:tc>
          <w:tcPr>
            <w:tcW w:w="2191"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64</w:t>
            </w:r>
          </w:p>
        </w:tc>
        <w:tc>
          <w:tcPr>
            <w:tcW w:w="2370"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65970</w:t>
            </w:r>
          </w:p>
        </w:tc>
        <w:tc>
          <w:tcPr>
            <w:tcW w:w="2707" w:type="dxa"/>
            <w:shd w:val="clear" w:color="auto" w:fill="auto"/>
            <w:noWrap/>
            <w:vAlign w:val="center"/>
          </w:tcPr>
          <w:p>
            <w:pPr>
              <w:widowControl/>
              <w:ind w:firstLine="0" w:firstLineChars="0"/>
              <w:jc w:val="center"/>
              <w:textAlignment w:val="center"/>
              <w:rPr>
                <w:rFonts w:cs="Times New Roman"/>
                <w:color w:val="auto"/>
                <w:kern w:val="0"/>
                <w:sz w:val="24"/>
                <w:szCs w:val="24"/>
                <w:highlight w:val="none"/>
              </w:rPr>
            </w:pPr>
            <w:r>
              <w:rPr>
                <w:rFonts w:eastAsia="宋体" w:cs="Times New Roman"/>
                <w:color w:val="auto"/>
                <w:kern w:val="0"/>
                <w:sz w:val="24"/>
                <w:szCs w:val="24"/>
                <w:highlight w:val="none"/>
                <w:lang w:bidi="ar"/>
              </w:rPr>
              <w:t>64470</w:t>
            </w:r>
          </w:p>
        </w:tc>
      </w:tr>
    </w:tbl>
    <w:p>
      <w:pPr>
        <w:ind w:firstLine="640"/>
        <w:jc w:val="left"/>
        <w:rPr>
          <w:rFonts w:cs="Times New Roman"/>
          <w:color w:val="auto"/>
          <w:highlight w:val="none"/>
        </w:rPr>
      </w:pPr>
    </w:p>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cs="Times New Roman"/>
          <w:color w:val="auto"/>
          <w:highlight w:val="none"/>
        </w:rPr>
      </w:pPr>
      <w:r>
        <w:rPr>
          <w:rFonts w:cs="Times New Roman"/>
          <w:color w:val="auto"/>
          <w:highlight w:val="none"/>
        </w:rPr>
        <w:drawing>
          <wp:inline distT="0" distB="0" distL="114300" distR="114300">
            <wp:extent cx="5535295" cy="3478530"/>
            <wp:effectExtent l="0" t="0" r="8255" b="762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ind w:firstLine="640"/>
        <w:jc w:val="center"/>
        <w:rPr>
          <w:rFonts w:cs="Times New Roman"/>
          <w:b/>
          <w:bCs/>
          <w:color w:val="auto"/>
          <w:szCs w:val="32"/>
          <w:highlight w:val="none"/>
        </w:rPr>
      </w:pPr>
      <w:r>
        <w:rPr>
          <w:rFonts w:cs="Times New Roman"/>
          <w:b/>
          <w:bCs/>
          <w:color w:val="auto"/>
          <w:szCs w:val="32"/>
          <w:highlight w:val="none"/>
        </w:rPr>
        <w:t xml:space="preserve">图4.1-1   </w:t>
      </w:r>
      <w:r>
        <w:rPr>
          <w:rFonts w:cs="Times New Roman"/>
          <w:b/>
          <w:bCs/>
          <w:color w:val="auto"/>
          <w:sz w:val="30"/>
          <w:szCs w:val="30"/>
          <w:highlight w:val="none"/>
        </w:rPr>
        <w:t>各省辖市生活垃圾焚烧企业实际处理规模情况</w:t>
      </w:r>
    </w:p>
    <w:p>
      <w:pPr>
        <w:pStyle w:val="4"/>
        <w:spacing w:before="156" w:after="156"/>
        <w:ind w:left="0" w:leftChars="0" w:firstLine="0" w:firstLineChars="0"/>
        <w:rPr>
          <w:rFonts w:ascii="Times New Roman" w:hAnsi="Times New Roman" w:eastAsia="仿宋_GB2312" w:cs="Times New Roman"/>
          <w:b/>
          <w:bCs/>
          <w:color w:val="auto"/>
          <w:szCs w:val="22"/>
          <w:highlight w:val="none"/>
          <w:lang w:val="zh-CN"/>
        </w:rPr>
      </w:pPr>
      <w:bookmarkStart w:id="47" w:name="_Toc21022"/>
      <w:r>
        <w:rPr>
          <w:rFonts w:ascii="Times New Roman" w:hAnsi="Times New Roman" w:eastAsia="仿宋_GB2312" w:cs="Times New Roman"/>
          <w:b/>
          <w:bCs/>
          <w:color w:val="auto"/>
          <w:szCs w:val="22"/>
          <w:highlight w:val="none"/>
          <w:lang w:val="zh-CN"/>
        </w:rPr>
        <w:t>4.1.2</w:t>
      </w:r>
      <w:r>
        <w:rPr>
          <w:rFonts w:hint="eastAsia" w:eastAsia="仿宋_GB2312" w:cs="Times New Roman"/>
          <w:b/>
          <w:bCs/>
          <w:color w:val="auto"/>
          <w:szCs w:val="22"/>
          <w:highlight w:val="none"/>
          <w:lang w:val="en-US" w:eastAsia="zh-CN"/>
        </w:rPr>
        <w:t xml:space="preserve"> </w:t>
      </w:r>
      <w:r>
        <w:rPr>
          <w:rFonts w:ascii="Times New Roman" w:hAnsi="Times New Roman" w:eastAsia="仿宋_GB2312" w:cs="Times New Roman"/>
          <w:b/>
          <w:bCs/>
          <w:color w:val="auto"/>
          <w:szCs w:val="22"/>
          <w:highlight w:val="none"/>
          <w:lang w:val="zh-CN"/>
        </w:rPr>
        <w:t>许可证核发情况</w:t>
      </w:r>
      <w:bookmarkEnd w:id="47"/>
    </w:p>
    <w:p>
      <w:pPr>
        <w:ind w:firstLine="640"/>
        <w:rPr>
          <w:rFonts w:cs="Times New Roman"/>
          <w:color w:val="auto"/>
          <w:highlight w:val="none"/>
        </w:rPr>
      </w:pPr>
      <w:r>
        <w:rPr>
          <w:rFonts w:cs="Times New Roman"/>
          <w:color w:val="auto"/>
          <w:highlight w:val="none"/>
          <w:lang w:val="zh-CN"/>
        </w:rPr>
        <w:t>全省已申领和核发排污许可证的企业共</w:t>
      </w:r>
      <w:r>
        <w:rPr>
          <w:rFonts w:cs="Times New Roman"/>
          <w:color w:val="auto"/>
          <w:highlight w:val="none"/>
        </w:rPr>
        <w:t>64</w:t>
      </w:r>
      <w:r>
        <w:rPr>
          <w:rFonts w:cs="Times New Roman"/>
          <w:color w:val="auto"/>
          <w:highlight w:val="none"/>
          <w:lang w:val="zh-CN"/>
        </w:rPr>
        <w:t>家，总</w:t>
      </w:r>
      <w:r>
        <w:rPr>
          <w:rFonts w:cs="Times New Roman"/>
          <w:color w:val="auto"/>
          <w:highlight w:val="none"/>
        </w:rPr>
        <w:t>设计</w:t>
      </w:r>
      <w:r>
        <w:rPr>
          <w:rFonts w:cs="Times New Roman"/>
          <w:color w:val="auto"/>
          <w:highlight w:val="none"/>
          <w:lang w:val="zh-CN"/>
        </w:rPr>
        <w:t>处理量为</w:t>
      </w:r>
      <w:r>
        <w:rPr>
          <w:rFonts w:cs="Times New Roman"/>
          <w:color w:val="auto"/>
          <w:highlight w:val="none"/>
        </w:rPr>
        <w:t>6.597万</w:t>
      </w:r>
      <w:r>
        <w:rPr>
          <w:rFonts w:cs="Times New Roman"/>
          <w:color w:val="auto"/>
          <w:highlight w:val="none"/>
          <w:lang w:val="zh-CN"/>
        </w:rPr>
        <w:t>吨</w:t>
      </w:r>
      <w:r>
        <w:rPr>
          <w:rFonts w:cs="Times New Roman"/>
          <w:color w:val="auto"/>
          <w:highlight w:val="none"/>
        </w:rPr>
        <w:t>/日。其</w:t>
      </w:r>
      <w:r>
        <w:rPr>
          <w:rFonts w:cs="Times New Roman"/>
          <w:color w:val="auto"/>
          <w:highlight w:val="none"/>
          <w:lang w:val="zh-CN"/>
        </w:rPr>
        <w:t>中郑州市</w:t>
      </w:r>
      <w:r>
        <w:rPr>
          <w:rFonts w:cs="Times New Roman"/>
          <w:color w:val="auto"/>
          <w:highlight w:val="none"/>
        </w:rPr>
        <w:t>5</w:t>
      </w:r>
      <w:r>
        <w:rPr>
          <w:rFonts w:cs="Times New Roman"/>
          <w:color w:val="auto"/>
          <w:highlight w:val="none"/>
          <w:lang w:val="zh-CN"/>
        </w:rPr>
        <w:t>家，</w:t>
      </w:r>
      <w:r>
        <w:rPr>
          <w:rFonts w:cs="Times New Roman"/>
          <w:color w:val="auto"/>
          <w:highlight w:val="none"/>
        </w:rPr>
        <w:t>总设计</w:t>
      </w:r>
      <w:r>
        <w:rPr>
          <w:rFonts w:cs="Times New Roman"/>
          <w:color w:val="auto"/>
          <w:highlight w:val="none"/>
          <w:lang w:val="zh-CN"/>
        </w:rPr>
        <w:t>处理</w:t>
      </w:r>
      <w:r>
        <w:rPr>
          <w:rFonts w:cs="Times New Roman"/>
          <w:color w:val="auto"/>
          <w:highlight w:val="none"/>
        </w:rPr>
        <w:t>规模</w:t>
      </w:r>
      <w:r>
        <w:rPr>
          <w:rFonts w:cs="Times New Roman"/>
          <w:color w:val="auto"/>
          <w:highlight w:val="none"/>
          <w:lang w:val="zh-CN"/>
        </w:rPr>
        <w:t>为</w:t>
      </w:r>
      <w:r>
        <w:rPr>
          <w:rFonts w:cs="Times New Roman"/>
          <w:color w:val="auto"/>
          <w:highlight w:val="none"/>
        </w:rPr>
        <w:t>1.005万吨/日</w:t>
      </w:r>
      <w:r>
        <w:rPr>
          <w:rFonts w:cs="Times New Roman"/>
          <w:color w:val="auto"/>
          <w:highlight w:val="none"/>
          <w:lang w:val="zh-CN"/>
        </w:rPr>
        <w:t>；洛阳市5家，总</w:t>
      </w:r>
      <w:r>
        <w:rPr>
          <w:rFonts w:cs="Times New Roman"/>
          <w:color w:val="auto"/>
          <w:highlight w:val="none"/>
        </w:rPr>
        <w:t>设计</w:t>
      </w:r>
      <w:r>
        <w:rPr>
          <w:rFonts w:cs="Times New Roman"/>
          <w:color w:val="auto"/>
          <w:highlight w:val="none"/>
          <w:lang w:val="zh-CN"/>
        </w:rPr>
        <w:t>处理</w:t>
      </w:r>
      <w:r>
        <w:rPr>
          <w:rFonts w:cs="Times New Roman"/>
          <w:color w:val="auto"/>
          <w:highlight w:val="none"/>
        </w:rPr>
        <w:t>规模</w:t>
      </w:r>
      <w:r>
        <w:rPr>
          <w:rFonts w:cs="Times New Roman"/>
          <w:color w:val="auto"/>
          <w:highlight w:val="none"/>
          <w:lang w:val="zh-CN"/>
        </w:rPr>
        <w:t>为</w:t>
      </w:r>
      <w:r>
        <w:rPr>
          <w:rFonts w:cs="Times New Roman"/>
          <w:color w:val="auto"/>
          <w:highlight w:val="none"/>
        </w:rPr>
        <w:t>0.6万</w:t>
      </w:r>
      <w:r>
        <w:rPr>
          <w:rFonts w:cs="Times New Roman"/>
          <w:color w:val="auto"/>
          <w:highlight w:val="none"/>
          <w:lang w:val="zh-CN"/>
        </w:rPr>
        <w:t>吨</w:t>
      </w:r>
      <w:r>
        <w:rPr>
          <w:rFonts w:cs="Times New Roman"/>
          <w:color w:val="auto"/>
          <w:highlight w:val="none"/>
        </w:rPr>
        <w:t>/日</w:t>
      </w:r>
      <w:r>
        <w:rPr>
          <w:rFonts w:cs="Times New Roman"/>
          <w:color w:val="auto"/>
          <w:highlight w:val="none"/>
          <w:lang w:val="zh-CN"/>
        </w:rPr>
        <w:t>；周口市</w:t>
      </w:r>
      <w:r>
        <w:rPr>
          <w:rFonts w:cs="Times New Roman"/>
          <w:color w:val="auto"/>
          <w:highlight w:val="none"/>
        </w:rPr>
        <w:t>8</w:t>
      </w:r>
      <w:r>
        <w:rPr>
          <w:rFonts w:cs="Times New Roman"/>
          <w:color w:val="auto"/>
          <w:highlight w:val="none"/>
          <w:lang w:val="zh-CN"/>
        </w:rPr>
        <w:t>家，总处理</w:t>
      </w:r>
      <w:r>
        <w:rPr>
          <w:rFonts w:cs="Times New Roman"/>
          <w:color w:val="auto"/>
          <w:highlight w:val="none"/>
        </w:rPr>
        <w:t>规模</w:t>
      </w:r>
      <w:r>
        <w:rPr>
          <w:rFonts w:cs="Times New Roman"/>
          <w:color w:val="auto"/>
          <w:highlight w:val="none"/>
          <w:lang w:val="zh-CN"/>
        </w:rPr>
        <w:t>为</w:t>
      </w:r>
      <w:r>
        <w:rPr>
          <w:rFonts w:cs="Times New Roman"/>
          <w:color w:val="auto"/>
          <w:highlight w:val="none"/>
        </w:rPr>
        <w:t>0.582万</w:t>
      </w:r>
      <w:r>
        <w:rPr>
          <w:rFonts w:cs="Times New Roman"/>
          <w:color w:val="auto"/>
          <w:highlight w:val="none"/>
          <w:lang w:val="zh-CN"/>
        </w:rPr>
        <w:t>吨</w:t>
      </w:r>
      <w:r>
        <w:rPr>
          <w:rFonts w:cs="Times New Roman"/>
          <w:color w:val="auto"/>
          <w:highlight w:val="none"/>
        </w:rPr>
        <w:t>/日，</w:t>
      </w:r>
      <w:r>
        <w:rPr>
          <w:rFonts w:cs="Times New Roman"/>
          <w:color w:val="auto"/>
          <w:highlight w:val="none"/>
          <w:lang w:val="zh-CN"/>
        </w:rPr>
        <w:t>驻马店市</w:t>
      </w:r>
      <w:r>
        <w:rPr>
          <w:rFonts w:cs="Times New Roman"/>
          <w:color w:val="auto"/>
          <w:highlight w:val="none"/>
        </w:rPr>
        <w:t>7</w:t>
      </w:r>
      <w:r>
        <w:rPr>
          <w:rFonts w:cs="Times New Roman"/>
          <w:color w:val="auto"/>
          <w:highlight w:val="none"/>
          <w:lang w:val="zh-CN"/>
        </w:rPr>
        <w:t>家，总</w:t>
      </w:r>
      <w:r>
        <w:rPr>
          <w:rFonts w:cs="Times New Roman"/>
          <w:color w:val="auto"/>
          <w:highlight w:val="none"/>
        </w:rPr>
        <w:t>设计</w:t>
      </w:r>
      <w:r>
        <w:rPr>
          <w:rFonts w:cs="Times New Roman"/>
          <w:color w:val="auto"/>
          <w:highlight w:val="none"/>
          <w:lang w:val="zh-CN"/>
        </w:rPr>
        <w:t>处理</w:t>
      </w:r>
      <w:r>
        <w:rPr>
          <w:rFonts w:cs="Times New Roman"/>
          <w:color w:val="auto"/>
          <w:highlight w:val="none"/>
        </w:rPr>
        <w:t>规模</w:t>
      </w:r>
      <w:r>
        <w:rPr>
          <w:rFonts w:cs="Times New Roman"/>
          <w:color w:val="auto"/>
          <w:highlight w:val="none"/>
          <w:lang w:val="zh-CN"/>
        </w:rPr>
        <w:t>为</w:t>
      </w:r>
      <w:r>
        <w:rPr>
          <w:rFonts w:cs="Times New Roman"/>
          <w:color w:val="auto"/>
          <w:highlight w:val="none"/>
        </w:rPr>
        <w:t>0.46万</w:t>
      </w:r>
      <w:r>
        <w:rPr>
          <w:rFonts w:cs="Times New Roman"/>
          <w:color w:val="auto"/>
          <w:highlight w:val="none"/>
          <w:lang w:val="zh-CN"/>
        </w:rPr>
        <w:t>吨</w:t>
      </w:r>
      <w:r>
        <w:rPr>
          <w:rFonts w:cs="Times New Roman"/>
          <w:color w:val="auto"/>
          <w:highlight w:val="none"/>
        </w:rPr>
        <w:t>/日</w:t>
      </w:r>
      <w:r>
        <w:rPr>
          <w:rFonts w:cs="Times New Roman"/>
          <w:color w:val="auto"/>
          <w:highlight w:val="none"/>
          <w:lang w:val="zh-CN"/>
        </w:rPr>
        <w:t>，</w:t>
      </w:r>
      <w:r>
        <w:rPr>
          <w:rFonts w:cs="Times New Roman"/>
          <w:color w:val="auto"/>
          <w:highlight w:val="none"/>
        </w:rPr>
        <w:t>郑州市运行规模远超于其他地市，各地市生活垃圾焚烧企业已发证情况具体见表4.1-2及图4.1-2。</w:t>
      </w:r>
    </w:p>
    <w:p>
      <w:pPr>
        <w:ind w:left="0" w:leftChars="0" w:firstLine="0" w:firstLineChars="0"/>
        <w:rPr>
          <w:rFonts w:cs="Times New Roman"/>
          <w:b/>
          <w:bCs/>
          <w:color w:val="auto"/>
          <w:szCs w:val="32"/>
          <w:highlight w:val="none"/>
        </w:rPr>
      </w:pPr>
      <w:r>
        <w:rPr>
          <w:rFonts w:cs="Times New Roman"/>
          <w:b/>
          <w:bCs/>
          <w:color w:val="auto"/>
          <w:szCs w:val="32"/>
          <w:highlight w:val="none"/>
        </w:rPr>
        <w:t>表4.1-2    河南省生活垃圾焚烧已发证企业分布情况</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
        <w:gridCol w:w="1700"/>
        <w:gridCol w:w="1715"/>
        <w:gridCol w:w="1974"/>
        <w:gridCol w:w="2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blHeader/>
        </w:trPr>
        <w:tc>
          <w:tcPr>
            <w:tcW w:w="610" w:type="pct"/>
            <w:noWrap/>
            <w:vAlign w:val="center"/>
          </w:tcPr>
          <w:p>
            <w:pPr>
              <w:widowControl/>
              <w:adjustRightInd w:val="0"/>
              <w:snapToGrid w:val="0"/>
              <w:ind w:firstLine="0" w:firstLineChars="0"/>
              <w:jc w:val="center"/>
              <w:rPr>
                <w:rFonts w:cs="Times New Roman"/>
                <w:b/>
                <w:bCs/>
                <w:color w:val="auto"/>
                <w:kern w:val="0"/>
                <w:sz w:val="24"/>
                <w:szCs w:val="24"/>
                <w:highlight w:val="none"/>
              </w:rPr>
            </w:pPr>
            <w:r>
              <w:rPr>
                <w:rFonts w:cs="Times New Roman"/>
                <w:b/>
                <w:bCs/>
                <w:color w:val="auto"/>
                <w:kern w:val="0"/>
                <w:sz w:val="24"/>
                <w:szCs w:val="24"/>
                <w:highlight w:val="none"/>
              </w:rPr>
              <w:t>序号</w:t>
            </w:r>
          </w:p>
        </w:tc>
        <w:tc>
          <w:tcPr>
            <w:tcW w:w="997" w:type="pct"/>
            <w:vAlign w:val="center"/>
          </w:tcPr>
          <w:p>
            <w:pPr>
              <w:widowControl/>
              <w:adjustRightInd w:val="0"/>
              <w:snapToGrid w:val="0"/>
              <w:ind w:firstLine="0" w:firstLineChars="0"/>
              <w:jc w:val="center"/>
              <w:rPr>
                <w:rFonts w:cs="Times New Roman"/>
                <w:b/>
                <w:bCs/>
                <w:color w:val="auto"/>
                <w:kern w:val="0"/>
                <w:sz w:val="24"/>
                <w:szCs w:val="24"/>
                <w:highlight w:val="none"/>
              </w:rPr>
            </w:pPr>
            <w:r>
              <w:rPr>
                <w:rFonts w:cs="Times New Roman"/>
                <w:b/>
                <w:bCs/>
                <w:color w:val="auto"/>
                <w:kern w:val="0"/>
                <w:sz w:val="24"/>
                <w:szCs w:val="24"/>
                <w:highlight w:val="none"/>
              </w:rPr>
              <w:t>所在城市</w:t>
            </w:r>
          </w:p>
        </w:tc>
        <w:tc>
          <w:tcPr>
            <w:tcW w:w="1006" w:type="pct"/>
            <w:vAlign w:val="center"/>
          </w:tcPr>
          <w:p>
            <w:pPr>
              <w:widowControl/>
              <w:adjustRightInd w:val="0"/>
              <w:snapToGrid w:val="0"/>
              <w:ind w:firstLine="0" w:firstLineChars="0"/>
              <w:jc w:val="center"/>
              <w:rPr>
                <w:rFonts w:cs="Times New Roman"/>
                <w:b/>
                <w:bCs/>
                <w:color w:val="auto"/>
                <w:kern w:val="0"/>
                <w:sz w:val="24"/>
                <w:szCs w:val="24"/>
                <w:highlight w:val="none"/>
              </w:rPr>
            </w:pPr>
            <w:r>
              <w:rPr>
                <w:rFonts w:cs="Times New Roman"/>
                <w:b/>
                <w:bCs/>
                <w:color w:val="auto"/>
                <w:kern w:val="0"/>
                <w:sz w:val="24"/>
                <w:szCs w:val="24"/>
                <w:highlight w:val="none"/>
              </w:rPr>
              <w:t>已发证企业数量</w:t>
            </w:r>
          </w:p>
        </w:tc>
        <w:tc>
          <w:tcPr>
            <w:tcW w:w="1158" w:type="pct"/>
            <w:vAlign w:val="center"/>
          </w:tcPr>
          <w:p>
            <w:pPr>
              <w:widowControl/>
              <w:adjustRightInd w:val="0"/>
              <w:snapToGrid w:val="0"/>
              <w:ind w:firstLine="0" w:firstLineChars="0"/>
              <w:jc w:val="center"/>
              <w:rPr>
                <w:rFonts w:cs="Times New Roman"/>
                <w:b/>
                <w:bCs/>
                <w:color w:val="auto"/>
                <w:kern w:val="0"/>
                <w:sz w:val="24"/>
                <w:szCs w:val="24"/>
                <w:highlight w:val="none"/>
              </w:rPr>
            </w:pPr>
            <w:r>
              <w:rPr>
                <w:rFonts w:cs="Times New Roman"/>
                <w:b/>
                <w:bCs/>
                <w:color w:val="auto"/>
                <w:kern w:val="0"/>
                <w:sz w:val="24"/>
                <w:szCs w:val="24"/>
                <w:highlight w:val="none"/>
              </w:rPr>
              <w:t>总设计处理规模（t/d）</w:t>
            </w:r>
          </w:p>
        </w:tc>
        <w:tc>
          <w:tcPr>
            <w:tcW w:w="1227" w:type="pct"/>
            <w:vAlign w:val="center"/>
          </w:tcPr>
          <w:p>
            <w:pPr>
              <w:widowControl/>
              <w:adjustRightInd w:val="0"/>
              <w:snapToGrid w:val="0"/>
              <w:ind w:firstLine="0" w:firstLineChars="0"/>
              <w:jc w:val="center"/>
              <w:rPr>
                <w:rFonts w:cs="Times New Roman"/>
                <w:b/>
                <w:bCs/>
                <w:color w:val="auto"/>
                <w:kern w:val="0"/>
                <w:sz w:val="24"/>
                <w:szCs w:val="24"/>
                <w:highlight w:val="none"/>
              </w:rPr>
            </w:pPr>
            <w:r>
              <w:rPr>
                <w:rFonts w:cs="Times New Roman"/>
                <w:b/>
                <w:bCs/>
                <w:color w:val="auto"/>
                <w:kern w:val="0"/>
                <w:sz w:val="24"/>
                <w:szCs w:val="24"/>
                <w:highlight w:val="none"/>
              </w:rPr>
              <w:t>占全省总处理能力比例为（%）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1</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郑州</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10550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15.75%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2</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开封</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3450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3</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洛阳</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6000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8.96%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4</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平顶山</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4200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6.27%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5</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安阳</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3</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3750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6</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鹤壁</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1</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1000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7</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新乡</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3700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8</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焦作</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cs="Times New Roman"/>
                <w:color w:val="auto"/>
                <w:kern w:val="0"/>
                <w:sz w:val="24"/>
                <w:szCs w:val="24"/>
                <w:highlight w:val="none"/>
                <w:lang w:bidi="ar"/>
              </w:rPr>
              <w:t>1</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2000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9</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濮阳</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3</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2200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3.29%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10</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许昌</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1</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2250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11</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漯河</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1</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1500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12</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三门峡</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1</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1500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13</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南阳</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4700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7.02%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14</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商丘</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6</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3950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15</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信阳</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4220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16</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周口</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8</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5800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8.66%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17</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驻马店</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7</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4600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6.87%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18</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济源</w:t>
            </w:r>
          </w:p>
        </w:tc>
        <w:tc>
          <w:tcPr>
            <w:tcW w:w="1715"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1</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600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40" w:type="dxa"/>
            <w:noWrap/>
            <w:vAlign w:val="center"/>
          </w:tcPr>
          <w:p>
            <w:pPr>
              <w:widowControl/>
              <w:ind w:firstLine="0" w:firstLineChars="0"/>
              <w:jc w:val="center"/>
              <w:rPr>
                <w:rFonts w:cs="Times New Roman"/>
                <w:color w:val="auto"/>
                <w:kern w:val="0"/>
                <w:sz w:val="24"/>
                <w:szCs w:val="24"/>
                <w:highlight w:val="none"/>
              </w:rPr>
            </w:pPr>
            <w:r>
              <w:rPr>
                <w:rFonts w:eastAsia="宋体" w:cs="Times New Roman"/>
                <w:color w:val="auto"/>
                <w:kern w:val="0"/>
                <w:sz w:val="24"/>
                <w:szCs w:val="24"/>
                <w:highlight w:val="none"/>
                <w:lang w:bidi="ar"/>
              </w:rPr>
              <w:t>19</w:t>
            </w:r>
          </w:p>
        </w:tc>
        <w:tc>
          <w:tcPr>
            <w:tcW w:w="1700" w:type="dxa"/>
            <w:vAlign w:val="center"/>
          </w:tcPr>
          <w:p>
            <w:pPr>
              <w:widowControl/>
              <w:ind w:firstLine="0" w:firstLineChars="0"/>
              <w:jc w:val="center"/>
              <w:rPr>
                <w:rFonts w:cs="Times New Roman"/>
                <w:color w:val="auto"/>
                <w:kern w:val="0"/>
                <w:sz w:val="24"/>
                <w:szCs w:val="24"/>
                <w:highlight w:val="none"/>
              </w:rPr>
            </w:pPr>
            <w:r>
              <w:rPr>
                <w:rFonts w:cs="Times New Roman"/>
                <w:color w:val="auto"/>
                <w:kern w:val="0"/>
                <w:sz w:val="24"/>
                <w:szCs w:val="24"/>
                <w:highlight w:val="none"/>
                <w:lang w:bidi="ar"/>
              </w:rPr>
              <w:t>合计</w:t>
            </w:r>
          </w:p>
        </w:tc>
        <w:tc>
          <w:tcPr>
            <w:tcW w:w="1715" w:type="dxa"/>
            <w:noWrap/>
            <w:vAlign w:val="center"/>
          </w:tcPr>
          <w:p>
            <w:pPr>
              <w:widowControl/>
              <w:ind w:firstLine="0" w:firstLineChars="0"/>
              <w:jc w:val="center"/>
              <w:rPr>
                <w:rFonts w:hint="eastAsia" w:eastAsia="宋体" w:cs="Times New Roman"/>
                <w:color w:val="auto"/>
                <w:kern w:val="0"/>
                <w:sz w:val="24"/>
                <w:szCs w:val="24"/>
                <w:highlight w:val="none"/>
                <w:lang w:eastAsia="zh-CN" w:bidi="ar"/>
              </w:rPr>
            </w:pPr>
            <w:r>
              <w:rPr>
                <w:rFonts w:eastAsia="宋体" w:cs="Times New Roman"/>
                <w:color w:val="auto"/>
                <w:kern w:val="0"/>
                <w:sz w:val="24"/>
                <w:szCs w:val="24"/>
                <w:highlight w:val="none"/>
                <w:lang w:bidi="ar"/>
              </w:rPr>
              <w:t>6</w:t>
            </w:r>
            <w:r>
              <w:rPr>
                <w:rFonts w:hint="eastAsia" w:eastAsia="宋体" w:cs="Times New Roman"/>
                <w:color w:val="auto"/>
                <w:kern w:val="0"/>
                <w:sz w:val="24"/>
                <w:szCs w:val="24"/>
                <w:highlight w:val="none"/>
                <w:lang w:val="en-US" w:eastAsia="zh-CN" w:bidi="ar"/>
              </w:rPr>
              <w:t>4</w:t>
            </w:r>
          </w:p>
        </w:tc>
        <w:tc>
          <w:tcPr>
            <w:tcW w:w="1974" w:type="dxa"/>
            <w:noWrap/>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66970</w:t>
            </w:r>
          </w:p>
        </w:tc>
        <w:tc>
          <w:tcPr>
            <w:tcW w:w="2093" w:type="dxa"/>
            <w:vAlign w:val="center"/>
          </w:tcPr>
          <w:p>
            <w:pPr>
              <w:widowControl/>
              <w:ind w:firstLine="0" w:firstLineChars="0"/>
              <w:jc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100.00%</w:t>
            </w:r>
          </w:p>
        </w:tc>
      </w:tr>
    </w:tbl>
    <w:p>
      <w:pPr>
        <w:ind w:firstLine="640"/>
        <w:rPr>
          <w:rFonts w:cs="Times New Roman"/>
          <w:b/>
          <w:bCs/>
          <w:color w:val="auto"/>
          <w:szCs w:val="32"/>
          <w:highlight w:val="none"/>
        </w:rPr>
      </w:pPr>
    </w:p>
    <w:p>
      <w:pPr>
        <w:ind w:firstLine="640"/>
        <w:jc w:val="center"/>
        <w:rPr>
          <w:rFonts w:cs="Times New Roman"/>
          <w:b/>
          <w:bCs/>
          <w:color w:val="auto"/>
          <w:szCs w:val="32"/>
          <w:highlight w:val="none"/>
        </w:rPr>
      </w:pPr>
      <w:r>
        <w:rPr>
          <w:rFonts w:cs="Times New Roman"/>
          <w:color w:val="auto"/>
          <w:highlight w:val="none"/>
        </w:rPr>
        <w:drawing>
          <wp:inline distT="0" distB="0" distL="114300" distR="114300">
            <wp:extent cx="4572000" cy="2787650"/>
            <wp:effectExtent l="4445" t="4445" r="8255" b="1460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ind w:firstLine="640"/>
        <w:rPr>
          <w:rFonts w:cs="Times New Roman"/>
          <w:b/>
          <w:bCs/>
          <w:color w:val="auto"/>
          <w:szCs w:val="32"/>
          <w:highlight w:val="none"/>
        </w:rPr>
      </w:pPr>
      <w:r>
        <w:rPr>
          <w:rFonts w:cs="Times New Roman"/>
          <w:b/>
          <w:bCs/>
          <w:color w:val="auto"/>
          <w:szCs w:val="32"/>
          <w:highlight w:val="none"/>
        </w:rPr>
        <w:t>图4.1-2   各省辖市生活垃圾焚烧企业发证情况</w:t>
      </w:r>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48" w:name="_Toc15646"/>
      <w:bookmarkStart w:id="49" w:name="_Toc30796"/>
      <w:bookmarkStart w:id="50" w:name="_Toc17910"/>
      <w:r>
        <w:rPr>
          <w:rFonts w:ascii="Times New Roman" w:hAnsi="Times New Roman" w:eastAsia="仿宋_GB2312" w:cs="Times New Roman"/>
          <w:b/>
          <w:bCs/>
          <w:color w:val="auto"/>
          <w:szCs w:val="22"/>
          <w:highlight w:val="none"/>
        </w:rPr>
        <w:t>4.2 污染治理</w:t>
      </w:r>
      <w:bookmarkEnd w:id="48"/>
      <w:bookmarkEnd w:id="49"/>
      <w:r>
        <w:rPr>
          <w:rFonts w:ascii="Times New Roman" w:hAnsi="Times New Roman" w:eastAsia="仿宋_GB2312" w:cs="Times New Roman"/>
          <w:b/>
          <w:bCs/>
          <w:color w:val="auto"/>
          <w:szCs w:val="22"/>
          <w:highlight w:val="none"/>
        </w:rPr>
        <w:t>现状</w:t>
      </w:r>
      <w:bookmarkEnd w:id="50"/>
    </w:p>
    <w:p>
      <w:pPr>
        <w:pStyle w:val="4"/>
        <w:spacing w:before="156" w:after="156"/>
        <w:ind w:left="0" w:leftChars="0" w:firstLine="0" w:firstLineChars="0"/>
        <w:rPr>
          <w:rFonts w:ascii="Times New Roman" w:hAnsi="Times New Roman" w:eastAsia="仿宋_GB2312" w:cs="Times New Roman"/>
          <w:b/>
          <w:bCs/>
          <w:color w:val="auto"/>
          <w:szCs w:val="22"/>
          <w:highlight w:val="none"/>
          <w:lang w:val="zh-CN"/>
        </w:rPr>
      </w:pPr>
      <w:bookmarkStart w:id="51" w:name="_Toc19798"/>
      <w:bookmarkStart w:id="52" w:name="_Hlk120522534"/>
      <w:r>
        <w:rPr>
          <w:rFonts w:ascii="Times New Roman" w:hAnsi="Times New Roman" w:eastAsia="仿宋_GB2312" w:cs="Times New Roman"/>
          <w:b/>
          <w:bCs/>
          <w:color w:val="auto"/>
          <w:szCs w:val="22"/>
          <w:highlight w:val="none"/>
          <w:lang w:val="zh-CN"/>
        </w:rPr>
        <w:t>4.2.1 生产工艺及产排污环节</w:t>
      </w:r>
      <w:bookmarkEnd w:id="51"/>
    </w:p>
    <w:bookmarkEnd w:id="52"/>
    <w:p>
      <w:pPr>
        <w:ind w:firstLine="707" w:firstLineChars="221"/>
        <w:rPr>
          <w:rFonts w:cs="Times New Roman"/>
          <w:color w:val="auto"/>
          <w:szCs w:val="32"/>
          <w:highlight w:val="none"/>
          <w:lang w:val="zh-CN"/>
        </w:rPr>
      </w:pPr>
      <w:r>
        <w:rPr>
          <w:rFonts w:cs="Times New Roman"/>
          <w:color w:val="auto"/>
          <w:szCs w:val="32"/>
          <w:highlight w:val="none"/>
          <w:lang w:val="zh-CN"/>
        </w:rPr>
        <w:t>生活垃圾焚烧企业工艺流程主要包括：垃圾接收、焚烧及余热利用、烟气净化处理、灰渣收集处理等系统。</w:t>
      </w:r>
    </w:p>
    <w:p>
      <w:pPr>
        <w:ind w:firstLine="707" w:firstLineChars="221"/>
        <w:rPr>
          <w:rFonts w:cs="Times New Roman"/>
          <w:color w:val="auto"/>
          <w:szCs w:val="32"/>
          <w:highlight w:val="none"/>
          <w:lang w:val="zh-CN"/>
        </w:rPr>
      </w:pPr>
      <w:r>
        <w:rPr>
          <w:rFonts w:cs="Times New Roman"/>
          <w:color w:val="auto"/>
          <w:szCs w:val="32"/>
          <w:highlight w:val="none"/>
          <w:lang w:val="zh-CN"/>
        </w:rPr>
        <w:t>垃圾车从物流口进入厂区，经过地磅秤称重后进入垃圾卸料平台，卸入垃圾池。池内的垃圾通过垃圾吊车抓斗抓到焚烧炉给料斗，经溜槽落至给料炉排，再由给料炉排均匀送入焚烧炉内燃烧。垃圾燃烧所需助燃空气分为一次风和二次风。一次风取自于垃圾贮存坑，使垃圾池维持负压，确保坑内臭气不外逸。一次风由一次风机增压后经蒸汽空气预热器预热后送入炉内。二次风从锅炉顶部吸取热空气，由二次风机加压后送入炉膛，使炉膛烟气产生强烈湍流，以消除化学不完全燃烧损失和有利于飞灰中碳粒燃烬。</w:t>
      </w:r>
    </w:p>
    <w:p>
      <w:pPr>
        <w:ind w:firstLine="707" w:firstLineChars="221"/>
        <w:rPr>
          <w:rFonts w:cs="Times New Roman"/>
          <w:color w:val="auto"/>
          <w:szCs w:val="32"/>
          <w:highlight w:val="none"/>
          <w:lang w:val="zh-CN"/>
        </w:rPr>
      </w:pPr>
      <w:r>
        <w:rPr>
          <w:rFonts w:cs="Times New Roman"/>
          <w:color w:val="auto"/>
          <w:szCs w:val="32"/>
          <w:highlight w:val="none"/>
          <w:lang w:val="zh-CN"/>
        </w:rPr>
        <w:t>焚烧炉设有点火燃烧器和辅助燃烧器，用</w:t>
      </w:r>
      <w:r>
        <w:rPr>
          <w:rFonts w:cs="Times New Roman"/>
          <w:color w:val="auto"/>
          <w:szCs w:val="32"/>
          <w:highlight w:val="none"/>
        </w:rPr>
        <w:t>轻柴油</w:t>
      </w:r>
      <w:r>
        <w:rPr>
          <w:rFonts w:cs="Times New Roman"/>
          <w:color w:val="auto"/>
          <w:szCs w:val="32"/>
          <w:highlight w:val="none"/>
          <w:lang w:val="zh-CN"/>
        </w:rPr>
        <w:t>作为辅助燃料。点火燃烧器供点火升温用。当垃圾热值偏低、水份较高，炉膛出口温度不能维持在850℃以上，此时启用辅助燃烧器，以提高炉温和稳定燃烧。停炉过程中，辅助燃烧器必须在停止垃圾进料前启动，直至炉排上垃圾燃烬为止。</w:t>
      </w:r>
    </w:p>
    <w:p>
      <w:pPr>
        <w:ind w:firstLine="707" w:firstLineChars="221"/>
        <w:rPr>
          <w:rFonts w:cs="Times New Roman"/>
          <w:color w:val="auto"/>
          <w:szCs w:val="32"/>
          <w:highlight w:val="none"/>
          <w:lang w:val="zh-CN"/>
        </w:rPr>
      </w:pPr>
      <w:r>
        <w:rPr>
          <w:rFonts w:cs="Times New Roman"/>
          <w:color w:val="auto"/>
          <w:szCs w:val="32"/>
          <w:highlight w:val="none"/>
          <w:lang w:val="zh-CN"/>
        </w:rPr>
        <w:t>垃圾在炉排上通过干燥、燃烧和燃烬三个区域，垃圾中可燃份已完全燃烧，灰渣落入出渣机，经加水冷却后进入灰渣贮坑，出渣机起水封和冷却渣作用。灰渣贮坑上方设有起重机，可将汇集在灰渣贮坑中灰渣抓取，装车外运综合利用。</w:t>
      </w:r>
    </w:p>
    <w:p>
      <w:pPr>
        <w:ind w:firstLine="707" w:firstLineChars="221"/>
        <w:rPr>
          <w:rFonts w:cs="Times New Roman"/>
          <w:color w:val="auto"/>
          <w:szCs w:val="32"/>
          <w:highlight w:val="none"/>
        </w:rPr>
      </w:pPr>
      <w:r>
        <w:rPr>
          <w:rFonts w:cs="Times New Roman"/>
          <w:color w:val="auto"/>
          <w:szCs w:val="32"/>
          <w:highlight w:val="none"/>
          <w:lang w:val="zh-CN"/>
        </w:rPr>
        <w:t>垃圾燃烧产生的高温烟气经余热锅炉冷却至180℃后进入烟气净化系统，采用“SNCR+半干</w:t>
      </w:r>
      <w:r>
        <w:rPr>
          <w:rFonts w:cs="Times New Roman"/>
          <w:color w:val="auto"/>
          <w:szCs w:val="32"/>
          <w:highlight w:val="none"/>
        </w:rPr>
        <w:t>法</w:t>
      </w:r>
      <w:r>
        <w:rPr>
          <w:rFonts w:cs="Times New Roman"/>
          <w:color w:val="auto"/>
          <w:szCs w:val="32"/>
          <w:highlight w:val="none"/>
          <w:lang w:val="zh-CN"/>
        </w:rPr>
        <w:t>+</w:t>
      </w:r>
      <w:r>
        <w:rPr>
          <w:rFonts w:cs="Times New Roman"/>
          <w:color w:val="auto"/>
          <w:szCs w:val="32"/>
          <w:highlight w:val="none"/>
        </w:rPr>
        <w:t>干法</w:t>
      </w:r>
      <w:r>
        <w:rPr>
          <w:rFonts w:cs="Times New Roman"/>
          <w:color w:val="auto"/>
          <w:szCs w:val="32"/>
          <w:highlight w:val="none"/>
          <w:lang w:val="zh-CN"/>
        </w:rPr>
        <w:t>+活性炭吸附+布袋除尘+SCR”工艺。首先在焚烧炉膛高温区域喷入氨水溶液降低烟气NOx浓度，烟气经余热锅炉冷却后进入反应塔，与喷入石灰浆粉充分反应后，烟气中酸性气体被去除（设置氢氧化钠应急喷射系统），在反应塔与除尘器之间烟道内喷入碳酸氢钠粉、活性炭进一步脱除酸性气体和重金属、二噁英，随后烟气进入布袋除尘器，在布袋除尘器表面进行除尘，除尘器出口的烟气经蒸汽烟气加热器（SGH）升温后进入选择性催化还原塔（SCR系统）进行脱硝反应。最后，符合排放标准的烟气通过引风机送至烟囱排放至大气。余热锅炉以水为工质吸收高温烟气中的热量，产生蒸汽。供汽轮发电机组发电。生活垃圾焚烧工艺流程图见</w:t>
      </w:r>
      <w:r>
        <w:rPr>
          <w:rFonts w:cs="Times New Roman"/>
          <w:color w:val="auto"/>
          <w:szCs w:val="32"/>
          <w:highlight w:val="none"/>
          <w:lang w:val="zh-CN"/>
        </w:rPr>
        <w:fldChar w:fldCharType="begin"/>
      </w:r>
      <w:r>
        <w:rPr>
          <w:rFonts w:cs="Times New Roman"/>
          <w:color w:val="auto"/>
          <w:szCs w:val="32"/>
          <w:highlight w:val="none"/>
          <w:lang w:val="zh-CN"/>
        </w:rPr>
        <w:instrText xml:space="preserve"> REF _Ref59693228 \h  \* MERGEFORMAT </w:instrText>
      </w:r>
      <w:r>
        <w:rPr>
          <w:rFonts w:cs="Times New Roman"/>
          <w:color w:val="auto"/>
          <w:szCs w:val="32"/>
          <w:highlight w:val="none"/>
          <w:lang w:val="zh-CN"/>
        </w:rPr>
        <w:fldChar w:fldCharType="separate"/>
      </w:r>
      <w:r>
        <w:rPr>
          <w:rFonts w:cs="Times New Roman"/>
          <w:color w:val="auto"/>
          <w:szCs w:val="32"/>
          <w:highlight w:val="none"/>
        </w:rPr>
        <w:t>图4.2</w:t>
      </w:r>
      <w:r>
        <w:rPr>
          <w:rFonts w:cs="Times New Roman"/>
          <w:color w:val="auto"/>
          <w:szCs w:val="32"/>
          <w:highlight w:val="none"/>
        </w:rPr>
        <w:noBreakHyphen/>
      </w:r>
      <w:r>
        <w:rPr>
          <w:rFonts w:cs="Times New Roman"/>
          <w:color w:val="auto"/>
          <w:szCs w:val="32"/>
          <w:highlight w:val="none"/>
        </w:rPr>
        <w:t>1</w:t>
      </w:r>
      <w:r>
        <w:rPr>
          <w:rFonts w:cs="Times New Roman"/>
          <w:color w:val="auto"/>
          <w:szCs w:val="32"/>
          <w:highlight w:val="none"/>
          <w:lang w:val="zh-CN"/>
        </w:rPr>
        <w:fldChar w:fldCharType="end"/>
      </w:r>
      <w:r>
        <w:rPr>
          <w:rFonts w:cs="Times New Roman"/>
          <w:color w:val="auto"/>
          <w:szCs w:val="32"/>
          <w:highlight w:val="none"/>
          <w:lang w:val="zh-CN"/>
        </w:rPr>
        <w:t>。</w:t>
      </w:r>
    </w:p>
    <w:p>
      <w:pPr>
        <w:ind w:firstLine="707" w:firstLineChars="221"/>
        <w:rPr>
          <w:rFonts w:cs="Times New Roman"/>
          <w:color w:val="auto"/>
          <w:szCs w:val="32"/>
          <w:highlight w:val="none"/>
        </w:rPr>
        <w:sectPr>
          <w:footerReference r:id="rId12" w:type="default"/>
          <w:pgSz w:w="11906" w:h="16838"/>
          <w:pgMar w:top="1440" w:right="1800" w:bottom="1440" w:left="1800" w:header="851" w:footer="992" w:gutter="0"/>
          <w:pgNumType w:start="1"/>
          <w:cols w:space="425" w:num="1"/>
          <w:docGrid w:type="lines" w:linePitch="312" w:charSpace="0"/>
        </w:sectPr>
      </w:pPr>
    </w:p>
    <w:p>
      <w:pPr>
        <w:ind w:firstLine="397" w:firstLineChars="221"/>
        <w:jc w:val="center"/>
        <w:rPr>
          <w:rFonts w:cs="Times New Roman"/>
          <w:color w:val="auto"/>
          <w:szCs w:val="32"/>
          <w:highlight w:val="none"/>
        </w:rPr>
      </w:pPr>
      <w:r>
        <w:rPr>
          <w:rFonts w:cs="Times New Roman"/>
          <w:color w:val="auto"/>
          <w:sz w:val="18"/>
          <w:szCs w:val="18"/>
          <w:highlight w:val="none"/>
        </w:rPr>
        <w:drawing>
          <wp:inline distT="0" distB="0" distL="0" distR="0">
            <wp:extent cx="7722235" cy="4542155"/>
            <wp:effectExtent l="0" t="0" r="0" b="0"/>
            <wp:docPr id="13" name="图片 13" descr="流程图-半干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流程图-半干法"/>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7750800" cy="4559366"/>
                    </a:xfrm>
                    <a:prstGeom prst="rect">
                      <a:avLst/>
                    </a:prstGeom>
                    <a:noFill/>
                    <a:ln>
                      <a:noFill/>
                    </a:ln>
                  </pic:spPr>
                </pic:pic>
              </a:graphicData>
            </a:graphic>
          </wp:inline>
        </w:drawing>
      </w:r>
    </w:p>
    <w:p>
      <w:pPr>
        <w:ind w:firstLine="710" w:firstLineChars="221"/>
        <w:jc w:val="center"/>
        <w:rPr>
          <w:rFonts w:cs="Times New Roman"/>
          <w:b/>
          <w:bCs/>
          <w:color w:val="auto"/>
          <w:szCs w:val="32"/>
          <w:highlight w:val="none"/>
          <w:lang w:val="zh-CN"/>
        </w:rPr>
      </w:pPr>
      <w:r>
        <w:rPr>
          <w:rFonts w:cs="Times New Roman"/>
          <w:b/>
          <w:bCs/>
          <w:color w:val="auto"/>
          <w:szCs w:val="32"/>
          <w:highlight w:val="none"/>
        </w:rPr>
        <w:t xml:space="preserve">图4.2-1   </w:t>
      </w:r>
      <w:r>
        <w:rPr>
          <w:rFonts w:cs="Times New Roman"/>
          <w:b/>
          <w:bCs/>
          <w:color w:val="auto"/>
          <w:szCs w:val="32"/>
          <w:highlight w:val="none"/>
          <w:lang w:val="zh-CN"/>
        </w:rPr>
        <w:t>生活垃圾焚烧工艺流程图</w:t>
      </w:r>
    </w:p>
    <w:p>
      <w:pPr>
        <w:ind w:firstLine="707" w:firstLineChars="221"/>
        <w:rPr>
          <w:rFonts w:cs="Times New Roman"/>
          <w:color w:val="auto"/>
          <w:szCs w:val="32"/>
          <w:highlight w:val="none"/>
        </w:rPr>
        <w:sectPr>
          <w:pgSz w:w="16838" w:h="11906" w:orient="landscape"/>
          <w:pgMar w:top="1800" w:right="1440" w:bottom="1800" w:left="1440" w:header="851" w:footer="992" w:gutter="0"/>
          <w:cols w:space="425" w:num="1"/>
          <w:docGrid w:type="lines" w:linePitch="312" w:charSpace="0"/>
        </w:sectPr>
      </w:pPr>
    </w:p>
    <w:p>
      <w:pPr>
        <w:spacing w:line="360" w:lineRule="auto"/>
        <w:ind w:firstLine="640"/>
        <w:rPr>
          <w:rFonts w:cs="Times New Roman"/>
          <w:color w:val="auto"/>
          <w:szCs w:val="32"/>
          <w:highlight w:val="none"/>
        </w:rPr>
      </w:pPr>
      <w:r>
        <w:rPr>
          <w:rFonts w:cs="Times New Roman"/>
          <w:color w:val="auto"/>
          <w:szCs w:val="32"/>
          <w:highlight w:val="none"/>
          <w:lang w:val="zh-CN"/>
        </w:rPr>
        <w:t>废气主要来源有：</w:t>
      </w:r>
      <w:r>
        <w:rPr>
          <w:rFonts w:cs="Times New Roman"/>
          <w:color w:val="auto"/>
          <w:szCs w:val="32"/>
          <w:highlight w:val="none"/>
        </w:rPr>
        <w:t>①垃圾在焚烧过程中产生的烟气，主要污染物有烟尘（颗粒物）、酸性气体（SO</w:t>
      </w:r>
      <w:r>
        <w:rPr>
          <w:rFonts w:cs="Times New Roman"/>
          <w:color w:val="auto"/>
          <w:szCs w:val="32"/>
          <w:highlight w:val="none"/>
          <w:vertAlign w:val="subscript"/>
        </w:rPr>
        <w:t>2</w:t>
      </w:r>
      <w:r>
        <w:rPr>
          <w:rFonts w:cs="Times New Roman"/>
          <w:color w:val="auto"/>
          <w:szCs w:val="32"/>
          <w:highlight w:val="none"/>
        </w:rPr>
        <w:t>、HCl、HF、NOx等）、重金属（Hg、Pb、Cr等）和有机毒性污染物二噁英类物质等。②卸料大厅、垃圾坑和渗滤液收集池等散发的恶臭气体，主要成分为H</w:t>
      </w:r>
      <w:r>
        <w:rPr>
          <w:rFonts w:cs="Times New Roman"/>
          <w:color w:val="auto"/>
          <w:szCs w:val="32"/>
          <w:highlight w:val="none"/>
          <w:vertAlign w:val="subscript"/>
        </w:rPr>
        <w:t>2</w:t>
      </w:r>
      <w:r>
        <w:rPr>
          <w:rFonts w:cs="Times New Roman"/>
          <w:color w:val="auto"/>
          <w:szCs w:val="32"/>
          <w:highlight w:val="none"/>
        </w:rPr>
        <w:t>S和NH</w:t>
      </w:r>
      <w:r>
        <w:rPr>
          <w:rFonts w:cs="Times New Roman"/>
          <w:color w:val="auto"/>
          <w:szCs w:val="32"/>
          <w:highlight w:val="none"/>
          <w:vertAlign w:val="subscript"/>
        </w:rPr>
        <w:t>3</w:t>
      </w:r>
      <w:r>
        <w:rPr>
          <w:rFonts w:cs="Times New Roman"/>
          <w:color w:val="auto"/>
          <w:szCs w:val="32"/>
          <w:highlight w:val="none"/>
        </w:rPr>
        <w:t>。③渗滤液处理站厌氧系统沼气，主要成分为CH</w:t>
      </w:r>
      <w:r>
        <w:rPr>
          <w:rFonts w:cs="Times New Roman"/>
          <w:color w:val="auto"/>
          <w:szCs w:val="32"/>
          <w:highlight w:val="none"/>
          <w:vertAlign w:val="subscript"/>
        </w:rPr>
        <w:t>4</w:t>
      </w:r>
      <w:r>
        <w:rPr>
          <w:rFonts w:cs="Times New Roman"/>
          <w:color w:val="auto"/>
          <w:szCs w:val="32"/>
          <w:highlight w:val="none"/>
        </w:rPr>
        <w:t>和CO</w:t>
      </w:r>
      <w:r>
        <w:rPr>
          <w:rFonts w:cs="Times New Roman"/>
          <w:color w:val="auto"/>
          <w:szCs w:val="32"/>
          <w:highlight w:val="none"/>
          <w:vertAlign w:val="subscript"/>
        </w:rPr>
        <w:t>2</w:t>
      </w:r>
      <w:r>
        <w:rPr>
          <w:rFonts w:cs="Times New Roman"/>
          <w:color w:val="auto"/>
          <w:szCs w:val="32"/>
          <w:highlight w:val="none"/>
        </w:rPr>
        <w:t>。④渗滤液处理站调节池、污泥池、污泥脱水车间、餐厨垃圾处理车间散发恶臭气体。⑤焚烧工程原料输送和储存产生的粉尘。⑥飞灰处理工程中原材料输送、储存以及工艺搅拌过程产生的粉尘等。</w:t>
      </w:r>
    </w:p>
    <w:p>
      <w:pPr>
        <w:pStyle w:val="4"/>
        <w:spacing w:before="156" w:after="156"/>
        <w:ind w:left="0" w:leftChars="0" w:firstLine="0" w:firstLineChars="0"/>
        <w:rPr>
          <w:rFonts w:ascii="Times New Roman" w:hAnsi="Times New Roman" w:eastAsia="仿宋_GB2312" w:cs="Times New Roman"/>
          <w:b/>
          <w:bCs/>
          <w:color w:val="auto"/>
          <w:szCs w:val="22"/>
          <w:highlight w:val="none"/>
          <w:lang w:val="zh-CN"/>
        </w:rPr>
      </w:pPr>
      <w:bookmarkStart w:id="53" w:name="_Toc9257"/>
      <w:r>
        <w:rPr>
          <w:rFonts w:ascii="Times New Roman" w:hAnsi="Times New Roman" w:eastAsia="仿宋_GB2312" w:cs="Times New Roman"/>
          <w:b/>
          <w:bCs/>
          <w:color w:val="auto"/>
          <w:szCs w:val="22"/>
          <w:highlight w:val="none"/>
          <w:lang w:val="zh-CN"/>
        </w:rPr>
        <w:t>4.2.2 污染治理技术</w:t>
      </w:r>
      <w:bookmarkEnd w:id="53"/>
    </w:p>
    <w:p>
      <w:pPr>
        <w:ind w:firstLine="640"/>
        <w:rPr>
          <w:rFonts w:cs="Times New Roman"/>
          <w:color w:val="auto"/>
          <w:highlight w:val="none"/>
        </w:rPr>
      </w:pPr>
      <w:r>
        <w:rPr>
          <w:rFonts w:cs="Times New Roman"/>
          <w:color w:val="auto"/>
          <w:highlight w:val="none"/>
        </w:rPr>
        <w:t>（1）烟尘</w:t>
      </w:r>
    </w:p>
    <w:p>
      <w:pPr>
        <w:ind w:firstLine="640"/>
        <w:rPr>
          <w:rFonts w:cs="Times New Roman"/>
          <w:color w:val="auto"/>
          <w:highlight w:val="none"/>
        </w:rPr>
      </w:pPr>
      <w:r>
        <w:rPr>
          <w:rFonts w:cs="Times New Roman"/>
          <w:color w:val="auto"/>
          <w:highlight w:val="none"/>
        </w:rPr>
        <w:t>根据国内外生活垃圾焚烧厂烟尘处理的经验，布袋除尘器具有烟尘净化效率高、维修方便、净化效率不受颗粒物比电阻和原浓度的影响等优点，袋式除尘器能除去微细粉尘，同时对有机污染物和重金属均有良好的处理效果，除尘效率&gt;99.9%。</w:t>
      </w:r>
    </w:p>
    <w:p>
      <w:pPr>
        <w:ind w:firstLine="640"/>
        <w:rPr>
          <w:rFonts w:cs="Times New Roman"/>
          <w:color w:val="auto"/>
          <w:highlight w:val="none"/>
        </w:rPr>
      </w:pPr>
      <w:r>
        <w:rPr>
          <w:rFonts w:cs="Times New Roman"/>
          <w:color w:val="auto"/>
          <w:highlight w:val="none"/>
        </w:rPr>
        <w:t>（2）酸性气体</w:t>
      </w:r>
    </w:p>
    <w:p>
      <w:pPr>
        <w:ind w:firstLine="640"/>
        <w:rPr>
          <w:rFonts w:cs="Times New Roman"/>
          <w:color w:val="auto"/>
          <w:highlight w:val="none"/>
        </w:rPr>
      </w:pPr>
      <w:r>
        <w:rPr>
          <w:rFonts w:cs="Times New Roman"/>
          <w:color w:val="auto"/>
          <w:highlight w:val="none"/>
        </w:rPr>
        <w:t>一般采用半干法+干法组合除酸工艺。余热锅炉烟气进入半干式反应塔，从塔顶喷射的碱液与烟气中的酸性气体发生中和反应，同时控制塔中碱液的喷射量保持半干式反应塔出口烟气温度稳定在150℃左右，同时保证在正常运行过程中不产生废水。烟气从半干式反应塔出来后往布袋除尘器去，在反应塔与布袋除尘器之间的烟道内喷射碱性粉末进一步中和烟气中的酸性气体。另外设置氢氧化钠应急喷射系统，在脱酸系统排放指标将要超标时，向脱酸塔喷入氢氧化钠溶液，可迅速降低脱酸排放指标。</w:t>
      </w:r>
    </w:p>
    <w:p>
      <w:pPr>
        <w:ind w:firstLine="640"/>
        <w:rPr>
          <w:rFonts w:cs="Times New Roman"/>
          <w:color w:val="auto"/>
          <w:highlight w:val="none"/>
        </w:rPr>
      </w:pPr>
      <w:r>
        <w:rPr>
          <w:rFonts w:cs="Times New Roman"/>
          <w:color w:val="auto"/>
          <w:highlight w:val="none"/>
        </w:rPr>
        <w:t>（3）重金属</w:t>
      </w:r>
    </w:p>
    <w:p>
      <w:pPr>
        <w:ind w:firstLine="640"/>
        <w:rPr>
          <w:rFonts w:cs="Times New Roman"/>
          <w:color w:val="auto"/>
          <w:highlight w:val="none"/>
        </w:rPr>
      </w:pPr>
      <w:r>
        <w:rPr>
          <w:rFonts w:cs="Times New Roman"/>
          <w:color w:val="auto"/>
          <w:highlight w:val="none"/>
        </w:rPr>
        <w:t>重金属类污染物</w:t>
      </w:r>
      <w:r>
        <w:rPr>
          <w:rFonts w:hint="eastAsia" w:cs="Times New Roman"/>
          <w:color w:val="auto"/>
          <w:highlight w:val="none"/>
          <w:lang w:val="en-US" w:eastAsia="zh-CN"/>
        </w:rPr>
        <w:t>来源于</w:t>
      </w:r>
      <w:r>
        <w:rPr>
          <w:rFonts w:cs="Times New Roman"/>
          <w:color w:val="auto"/>
          <w:highlight w:val="none"/>
        </w:rPr>
        <w:t>焚烧过程中生活垃圾所含的重金属及其化合物的蒸发。由于不同种类重金属及其化合物的蒸发点差异较大，生活垃圾中的含量也各不相同，所以它们在烟气中气相和固相存在形式的比例分配上也有很大差别。“高效的颗粒物捕集”和“低温控制”是重金属净化的两个主要方面。在干法烟气处理系统喷入活性炭吸附剂，再配以高效的布袋除尘器，可以有效去除重金属，达标排放。</w:t>
      </w:r>
    </w:p>
    <w:p>
      <w:pPr>
        <w:ind w:firstLine="640"/>
        <w:rPr>
          <w:rFonts w:cs="Times New Roman"/>
          <w:color w:val="auto"/>
          <w:highlight w:val="none"/>
        </w:rPr>
      </w:pPr>
      <w:r>
        <w:rPr>
          <w:rFonts w:cs="Times New Roman"/>
          <w:color w:val="auto"/>
          <w:highlight w:val="none"/>
        </w:rPr>
        <w:t>一般生活垃圾焚烧炉烟气中的重金属种类包括汞、铜、铅、铬、锌、铁、镉等，基本上可被布袋除尘器除去，汞的去除率略低些，这是由于高温下汞以蒸气存在的原因，除尘后烟气中的重金属可达标排放。国外主要采用的是玻璃纤维与PTFE混防滤料。为提高其可靠性，企业一般将布袋除尘器的布袋选用PTFE，该滤料具有良好的防酸、碱、抗水解性能，其最高耐温高达260℃。</w:t>
      </w:r>
    </w:p>
    <w:p>
      <w:pPr>
        <w:ind w:firstLine="640"/>
        <w:rPr>
          <w:rFonts w:cs="Times New Roman"/>
          <w:color w:val="auto"/>
          <w:highlight w:val="none"/>
        </w:rPr>
      </w:pPr>
      <w:r>
        <w:rPr>
          <w:rFonts w:cs="Times New Roman"/>
          <w:color w:val="auto"/>
          <w:highlight w:val="none"/>
        </w:rPr>
        <w:t>（4）二噁英</w:t>
      </w:r>
    </w:p>
    <w:p>
      <w:pPr>
        <w:ind w:firstLine="640"/>
        <w:rPr>
          <w:rFonts w:cs="Times New Roman"/>
          <w:color w:val="auto"/>
          <w:highlight w:val="none"/>
        </w:rPr>
      </w:pPr>
      <w:r>
        <w:rPr>
          <w:rFonts w:cs="Times New Roman"/>
          <w:color w:val="auto"/>
          <w:highlight w:val="none"/>
        </w:rPr>
        <w:t>结合国内生活垃圾焚烧发电炉排炉的实际应用情况，</w:t>
      </w:r>
      <w:r>
        <w:rPr>
          <w:rFonts w:hint="eastAsia" w:cs="Times New Roman"/>
          <w:color w:val="auto"/>
          <w:highlight w:val="none"/>
          <w:lang w:val="en-US" w:eastAsia="zh-CN"/>
        </w:rPr>
        <w:t>企业均会</w:t>
      </w:r>
      <w:r>
        <w:rPr>
          <w:rFonts w:cs="Times New Roman"/>
          <w:color w:val="auto"/>
          <w:highlight w:val="none"/>
        </w:rPr>
        <w:t>择优选择炉排</w:t>
      </w:r>
      <w:r>
        <w:rPr>
          <w:rFonts w:hint="eastAsia" w:cs="Times New Roman"/>
          <w:color w:val="auto"/>
          <w:highlight w:val="none"/>
          <w:lang w:val="en-US" w:eastAsia="zh-CN"/>
        </w:rPr>
        <w:t>式</w:t>
      </w:r>
      <w:r>
        <w:rPr>
          <w:rFonts w:cs="Times New Roman"/>
          <w:color w:val="auto"/>
          <w:highlight w:val="none"/>
        </w:rPr>
        <w:t>焚烧炉，在焚烧过程中对垃圾进行充分翻动和混合，确保燃烧均匀与完全。为保证投入垃圾后，焚烧炉膛内能保证维持850度以上的温度，生活垃圾应逐渐投入直至达到额定垃圾处理能力，其间通过自动燃烧控制系统使炉膛内烟气温度始终能满足850度以上、停留2秒的要求，从而能确保有效抑制二噁英的产生。</w:t>
      </w:r>
      <w:r>
        <w:rPr>
          <w:rFonts w:hint="eastAsia" w:cs="Times New Roman"/>
          <w:color w:val="auto"/>
          <w:highlight w:val="none"/>
          <w:lang w:val="en-US" w:eastAsia="zh-CN"/>
        </w:rPr>
        <w:t>企业一般</w:t>
      </w:r>
      <w:r>
        <w:rPr>
          <w:rFonts w:cs="Times New Roman"/>
          <w:color w:val="auto"/>
          <w:highlight w:val="none"/>
        </w:rPr>
        <w:t>在焚烧炉侧墙设辅助燃烧器，布置在绝热炉膛的出口，当入炉的垃圾热值较低使得炉膛温度低于850℃时，该系统将自动投入，以保证二噁英的充分分解。</w:t>
      </w:r>
      <w:r>
        <w:rPr>
          <w:rFonts w:hint="eastAsia" w:cs="Times New Roman"/>
          <w:color w:val="auto"/>
          <w:highlight w:val="none"/>
          <w:lang w:val="en-US" w:eastAsia="zh-CN"/>
        </w:rPr>
        <w:t>主要是通过以下方式：</w:t>
      </w:r>
      <w:r>
        <w:rPr>
          <w:rFonts w:cs="Times New Roman"/>
          <w:color w:val="auto"/>
          <w:highlight w:val="none"/>
        </w:rPr>
        <w:t>①通过余热锅炉炉型设计，缩短烟气在200℃~400℃温度区的停留时间，减少二噁英类的重新生成；②850度以上的烟气从炉膛出来后，经过余热锅炉大面积水冷壁换热，使烟气温度快速从850度以上下降到锅炉出口的200度以下。③控制进入除尘器入口的烟气温度低于180℃。④烟气温度对去除二噁英有很大的影响。当烟气温度较低时，二噁英气体较易转化为细颗粒。由此，在较低的气相温度条件下，袋式除尘器可更有效地脱除二噁英。⑤在袋式除尘器之前将干态活性炭以气动形式通过喷射风机喷射入除尘器前的管道中，通过在滤袋上和烟气接触吸附去除重金属和二噁英类物质。⑥袋式除尘器对二噁英类和重金属有较好的去除效果。当烟气通过活性炭喷射装置和袋式除尘器的滤袋时，由于其滤袋上黏附的粉层以及比表面积非常大的活性炭粉末，反应生成的二噁英将被吸附，并逐渐聚集于该粉尘层上，二噁英即从烟气去除。</w:t>
      </w:r>
    </w:p>
    <w:p>
      <w:pPr>
        <w:ind w:firstLine="640"/>
        <w:rPr>
          <w:rFonts w:cs="Times New Roman"/>
          <w:color w:val="auto"/>
          <w:highlight w:val="none"/>
        </w:rPr>
      </w:pPr>
      <w:r>
        <w:rPr>
          <w:rFonts w:cs="Times New Roman"/>
          <w:color w:val="auto"/>
          <w:highlight w:val="none"/>
        </w:rPr>
        <w:t>（5）一氧化碳</w:t>
      </w:r>
    </w:p>
    <w:p>
      <w:pPr>
        <w:ind w:firstLine="640"/>
        <w:rPr>
          <w:rFonts w:cs="Times New Roman"/>
          <w:color w:val="auto"/>
          <w:highlight w:val="none"/>
        </w:rPr>
      </w:pPr>
      <w:r>
        <w:rPr>
          <w:rFonts w:cs="Times New Roman"/>
          <w:color w:val="auto"/>
          <w:highlight w:val="none"/>
        </w:rPr>
        <w:t>CO的排放浓度与锅炉炉排运行情况有关。在焚烧过程中通过炉排的运动对垃圾进行充分的翻动和混合，避免局部的缺氧造成CO的生成；在炉膛内喷入适量的二次空气与烟气混合，使CO进一步氧化。</w:t>
      </w:r>
    </w:p>
    <w:p>
      <w:pPr>
        <w:ind w:firstLine="640"/>
        <w:rPr>
          <w:rFonts w:cs="Times New Roman"/>
          <w:color w:val="auto"/>
          <w:highlight w:val="none"/>
        </w:rPr>
      </w:pPr>
      <w:r>
        <w:rPr>
          <w:rFonts w:cs="Times New Roman"/>
          <w:color w:val="auto"/>
          <w:highlight w:val="none"/>
        </w:rPr>
        <w:t>（6）氮氧化物</w:t>
      </w:r>
    </w:p>
    <w:p>
      <w:pPr>
        <w:ind w:firstLine="640"/>
        <w:rPr>
          <w:rFonts w:cs="Times New Roman"/>
          <w:color w:val="auto"/>
          <w:highlight w:val="none"/>
        </w:rPr>
      </w:pPr>
      <w:r>
        <w:rPr>
          <w:rFonts w:cs="Times New Roman"/>
          <w:color w:val="auto"/>
          <w:highlight w:val="none"/>
        </w:rPr>
        <w:t>目前，生活垃圾焚烧厂燃烧烟气的NOx污染控制技术一般可以通过两类方法来达到，一是“源头控制”，即通过控制焚烧条件的低氮燃烧方式来减少NOx的产生；二是“末端治理”，应用在生活垃圾焚烧厂“末端治理”的烟气脱硝技术主要有选择性催化还原技术（SCR）、选择性非催化还原技术（SNCR）、协效还原法脱硝技术（SER）、脱硝脱硫一体化PNCR新技术等。此外，还有一些新型脱硝技术，如臭氧脱硝技术。</w:t>
      </w:r>
    </w:p>
    <w:p>
      <w:pPr>
        <w:ind w:firstLine="640"/>
        <w:rPr>
          <w:rFonts w:cs="Times New Roman"/>
          <w:color w:val="auto"/>
          <w:highlight w:val="none"/>
        </w:rPr>
      </w:pPr>
      <w:r>
        <w:rPr>
          <w:rFonts w:cs="Times New Roman"/>
          <w:color w:val="auto"/>
          <w:highlight w:val="none"/>
        </w:rPr>
        <w:t>源头控制：通过控制焚烧条件的低氮燃烧方式来减少NOx的产生</w:t>
      </w:r>
      <w:r>
        <w:rPr>
          <w:rFonts w:hint="eastAsia" w:cs="Times New Roman"/>
          <w:color w:val="auto"/>
          <w:highlight w:val="none"/>
          <w:lang w:eastAsia="zh-CN"/>
        </w:rPr>
        <w:t>，</w:t>
      </w:r>
      <w:r>
        <w:rPr>
          <w:rFonts w:hint="eastAsia" w:cs="Times New Roman"/>
          <w:color w:val="auto"/>
          <w:highlight w:val="none"/>
          <w:lang w:val="en-US" w:eastAsia="zh-CN"/>
        </w:rPr>
        <w:t>①</w:t>
      </w:r>
      <w:r>
        <w:rPr>
          <w:rFonts w:cs="Times New Roman"/>
          <w:color w:val="auto"/>
          <w:highlight w:val="none"/>
        </w:rPr>
        <w:t>降低焚烧区域的温度——在高温条件下，NOx来源于生活垃圾焚烧过程中的N</w:t>
      </w:r>
      <w:r>
        <w:rPr>
          <w:rFonts w:cs="Times New Roman"/>
          <w:color w:val="auto"/>
          <w:highlight w:val="none"/>
          <w:vertAlign w:val="subscript"/>
        </w:rPr>
        <w:t>2</w:t>
      </w:r>
      <w:r>
        <w:rPr>
          <w:rFonts w:cs="Times New Roman"/>
          <w:color w:val="auto"/>
          <w:highlight w:val="none"/>
        </w:rPr>
        <w:t>和O</w:t>
      </w:r>
      <w:r>
        <w:rPr>
          <w:rFonts w:cs="Times New Roman"/>
          <w:color w:val="auto"/>
          <w:highlight w:val="none"/>
          <w:vertAlign w:val="subscript"/>
        </w:rPr>
        <w:t>2</w:t>
      </w:r>
      <w:r>
        <w:rPr>
          <w:rFonts w:cs="Times New Roman"/>
          <w:color w:val="auto"/>
          <w:highlight w:val="none"/>
        </w:rPr>
        <w:t>的氧化反应，通过控制焚烧区域的最高温度，并且减少“局部过度燃烧”的情况发生，即可控制这部分NOx的生成。</w:t>
      </w:r>
      <w:r>
        <w:rPr>
          <w:rFonts w:hint="eastAsia" w:cs="Times New Roman"/>
          <w:color w:val="auto"/>
          <w:highlight w:val="none"/>
          <w:lang w:val="en-US" w:eastAsia="zh-CN"/>
        </w:rPr>
        <w:t>②</w:t>
      </w:r>
      <w:r>
        <w:rPr>
          <w:rFonts w:cs="Times New Roman"/>
          <w:color w:val="auto"/>
          <w:highlight w:val="none"/>
        </w:rPr>
        <w:t>降低O</w:t>
      </w:r>
      <w:r>
        <w:rPr>
          <w:rFonts w:cs="Times New Roman"/>
          <w:color w:val="auto"/>
          <w:highlight w:val="none"/>
          <w:vertAlign w:val="subscript"/>
        </w:rPr>
        <w:t>2</w:t>
      </w:r>
      <w:r>
        <w:rPr>
          <w:rFonts w:cs="Times New Roman"/>
          <w:color w:val="auto"/>
          <w:highlight w:val="none"/>
        </w:rPr>
        <w:t>浓度——通过调节助燃空气分布方式，降低高温区O</w:t>
      </w:r>
      <w:r>
        <w:rPr>
          <w:rFonts w:cs="Times New Roman"/>
          <w:color w:val="auto"/>
          <w:highlight w:val="none"/>
          <w:vertAlign w:val="subscript"/>
        </w:rPr>
        <w:t>2</w:t>
      </w:r>
      <w:r>
        <w:rPr>
          <w:rFonts w:cs="Times New Roman"/>
          <w:color w:val="auto"/>
          <w:highlight w:val="none"/>
        </w:rPr>
        <w:t>浓度，从而有效减少N</w:t>
      </w:r>
      <w:r>
        <w:rPr>
          <w:rFonts w:cs="Times New Roman"/>
          <w:color w:val="auto"/>
          <w:highlight w:val="none"/>
          <w:vertAlign w:val="subscript"/>
        </w:rPr>
        <w:t>2</w:t>
      </w:r>
      <w:r>
        <w:rPr>
          <w:rFonts w:cs="Times New Roman"/>
          <w:color w:val="auto"/>
          <w:highlight w:val="none"/>
        </w:rPr>
        <w:t>和O</w:t>
      </w:r>
      <w:r>
        <w:rPr>
          <w:rFonts w:cs="Times New Roman"/>
          <w:color w:val="auto"/>
          <w:highlight w:val="none"/>
          <w:vertAlign w:val="subscript"/>
        </w:rPr>
        <w:t>2</w:t>
      </w:r>
      <w:r>
        <w:rPr>
          <w:rFonts w:cs="Times New Roman"/>
          <w:color w:val="auto"/>
          <w:highlight w:val="none"/>
        </w:rPr>
        <w:t>的高温反应。</w:t>
      </w:r>
      <w:r>
        <w:rPr>
          <w:rFonts w:hint="eastAsia" w:cs="Times New Roman"/>
          <w:color w:val="auto"/>
          <w:highlight w:val="none"/>
          <w:lang w:val="en-US" w:eastAsia="zh-CN"/>
        </w:rPr>
        <w:t>③</w:t>
      </w:r>
      <w:r>
        <w:rPr>
          <w:rFonts w:cs="Times New Roman"/>
          <w:color w:val="auto"/>
          <w:highlight w:val="none"/>
        </w:rPr>
        <w:t>创造反应条件使NOx还原为N</w:t>
      </w:r>
      <w:r>
        <w:rPr>
          <w:rFonts w:cs="Times New Roman"/>
          <w:color w:val="auto"/>
          <w:highlight w:val="none"/>
          <w:vertAlign w:val="subscript"/>
        </w:rPr>
        <w:t>2</w:t>
      </w:r>
      <w:r>
        <w:rPr>
          <w:rFonts w:cs="Times New Roman"/>
          <w:color w:val="auto"/>
          <w:highlight w:val="none"/>
        </w:rPr>
        <w:t>。以上三种控制技术，在垃圾焚烧系统中具体措施包括：</w:t>
      </w:r>
    </w:p>
    <w:p>
      <w:pPr>
        <w:ind w:firstLine="640"/>
        <w:rPr>
          <w:rFonts w:cs="Times New Roman"/>
          <w:color w:val="auto"/>
          <w:highlight w:val="none"/>
        </w:rPr>
      </w:pPr>
      <w:r>
        <w:rPr>
          <w:rFonts w:cs="Times New Roman"/>
          <w:color w:val="auto"/>
          <w:highlight w:val="none"/>
        </w:rPr>
        <w:t>①低空气比——降低焚烧炉的空气过剩系数，使得O</w:t>
      </w:r>
      <w:r>
        <w:rPr>
          <w:rFonts w:cs="Times New Roman"/>
          <w:color w:val="auto"/>
          <w:highlight w:val="none"/>
          <w:vertAlign w:val="subscript"/>
        </w:rPr>
        <w:t>2</w:t>
      </w:r>
      <w:r>
        <w:rPr>
          <w:rFonts w:cs="Times New Roman"/>
          <w:color w:val="auto"/>
          <w:highlight w:val="none"/>
        </w:rPr>
        <w:t>的量足以用于生活垃圾焚烧但不足以生成大量的NOx和CO。②调整助燃空气布气孔位置——将部分助燃空气由炉排下供风转移到炉排上面供风，使得离开主反应区后未被焚毁的污染物与炉排上方供应的空气混合后继续反应。③分阶段燃烧——通过设置燃料和助燃空气的入口，实现垃圾分阶段焚烧的目的，逐步焚毁离开前面反应区时未被焚毁的污染物。④烟气循环——将烟气循环回到高温焚烧区域，稀释空气中的O</w:t>
      </w:r>
      <w:r>
        <w:rPr>
          <w:rFonts w:cs="Times New Roman"/>
          <w:color w:val="auto"/>
          <w:highlight w:val="none"/>
          <w:vertAlign w:val="subscript"/>
        </w:rPr>
        <w:t>2</w:t>
      </w:r>
      <w:r>
        <w:rPr>
          <w:rFonts w:cs="Times New Roman"/>
          <w:color w:val="auto"/>
          <w:highlight w:val="none"/>
        </w:rPr>
        <w:t>浓度，降低焚烧温度。⑤气体再燃烧——在焚烧系统的后燃烧区引入燃料气体燃烧，生成各种类型的CH自由基，使得在主燃烧区生成的NOx在后燃烧区被还原成N</w:t>
      </w:r>
      <w:r>
        <w:rPr>
          <w:rFonts w:cs="Times New Roman"/>
          <w:color w:val="auto"/>
          <w:highlight w:val="none"/>
          <w:vertAlign w:val="subscript"/>
        </w:rPr>
        <w:t>2</w:t>
      </w:r>
      <w:r>
        <w:rPr>
          <w:rFonts w:cs="Times New Roman"/>
          <w:color w:val="auto"/>
          <w:highlight w:val="none"/>
        </w:rPr>
        <w:t>分子。</w:t>
      </w:r>
    </w:p>
    <w:p>
      <w:pPr>
        <w:ind w:firstLine="640"/>
        <w:rPr>
          <w:rFonts w:cs="Times New Roman"/>
          <w:color w:val="auto"/>
          <w:highlight w:val="none"/>
        </w:rPr>
      </w:pPr>
      <w:r>
        <w:rPr>
          <w:rFonts w:cs="Times New Roman"/>
          <w:color w:val="auto"/>
          <w:highlight w:val="none"/>
        </w:rPr>
        <w:t>末端治理工艺：①SCR烟气脱硝技术——SCR脱硝系统是向催化剂上游的烟气中喷入氨气或其它合适的还原剂，利用催化剂将烟气中的NOx转化为氮气和水，为了达到SCR法还原反应所需的320～400℃温度，烟气在进入催化脱硝装置之前需要加热。在通常的设计中，使用液态无水氨或氨水(氨的水溶液)，利用喷氨格栅将其喷入SCR反应器上游的烟气中。SCR系统NOx脱除效率通常很高，脱硝效率70～90%。喷入到烟气中的氨几乎完全和NOx反应。有少量氨不反应而是作为氨逃逸离开了反应器。一般来说，对于新的催化剂，氨逃逸量很低。但是，随着催化剂失活或者表面被飞灰覆盖或堵塞，氨逃逸量就会增加，为了维持需要的NOx脱除率，就必须增加反应器中NH</w:t>
      </w:r>
      <w:r>
        <w:rPr>
          <w:rFonts w:cs="Times New Roman"/>
          <w:color w:val="auto"/>
          <w:highlight w:val="none"/>
          <w:vertAlign w:val="subscript"/>
        </w:rPr>
        <w:t>3</w:t>
      </w:r>
      <w:r>
        <w:rPr>
          <w:rFonts w:cs="Times New Roman"/>
          <w:color w:val="auto"/>
          <w:highlight w:val="none"/>
        </w:rPr>
        <w:t>/NOx摩尔比。</w:t>
      </w:r>
    </w:p>
    <w:p>
      <w:pPr>
        <w:ind w:firstLine="640"/>
        <w:rPr>
          <w:rFonts w:cs="Times New Roman"/>
          <w:color w:val="auto"/>
          <w:highlight w:val="none"/>
        </w:rPr>
      </w:pPr>
      <w:r>
        <w:rPr>
          <w:rFonts w:cs="Times New Roman"/>
          <w:color w:val="auto"/>
          <w:highlight w:val="none"/>
        </w:rPr>
        <w:t>②SNCR烟气脱硝技术——SNCR技术是用氨气或尿素等还原剂喷入炉内与NOx进行选择性反应，不用催化剂，因此必须在高温区加入还原剂。还原剂喷入炉膛温度为850～1100℃的区域，该还原剂中的NH</w:t>
      </w:r>
      <w:r>
        <w:rPr>
          <w:rFonts w:cs="Times New Roman"/>
          <w:color w:val="auto"/>
          <w:highlight w:val="none"/>
          <w:vertAlign w:val="subscript"/>
        </w:rPr>
        <w:t>3</w:t>
      </w:r>
      <w:r>
        <w:rPr>
          <w:rFonts w:cs="Times New Roman"/>
          <w:color w:val="auto"/>
          <w:highlight w:val="none"/>
        </w:rPr>
        <w:t>与烟气中的NOx进行SNCR反应生成N</w:t>
      </w:r>
      <w:r>
        <w:rPr>
          <w:rFonts w:cs="Times New Roman"/>
          <w:color w:val="auto"/>
          <w:highlight w:val="none"/>
          <w:vertAlign w:val="subscript"/>
        </w:rPr>
        <w:t>2</w:t>
      </w:r>
      <w:r>
        <w:rPr>
          <w:rFonts w:cs="Times New Roman"/>
          <w:color w:val="auto"/>
          <w:highlight w:val="none"/>
        </w:rPr>
        <w:t>，该方法是以炉膛为反应器。研究发现，在炉膛850～1100℃这一狭窄的温度范围内、在无催化剂作用下，NH</w:t>
      </w:r>
      <w:r>
        <w:rPr>
          <w:rFonts w:cs="Times New Roman"/>
          <w:color w:val="auto"/>
          <w:highlight w:val="none"/>
          <w:vertAlign w:val="subscript"/>
        </w:rPr>
        <w:t>3</w:t>
      </w:r>
      <w:r>
        <w:rPr>
          <w:rFonts w:cs="Times New Roman"/>
          <w:color w:val="auto"/>
          <w:highlight w:val="none"/>
        </w:rPr>
        <w:t>或尿素等氨基还原剂可选择性地还原烟气中的NOx，基本上不与烟气中的O</w:t>
      </w:r>
      <w:r>
        <w:rPr>
          <w:rFonts w:cs="Times New Roman"/>
          <w:color w:val="auto"/>
          <w:highlight w:val="none"/>
          <w:vertAlign w:val="subscript"/>
        </w:rPr>
        <w:t>2</w:t>
      </w:r>
      <w:r>
        <w:rPr>
          <w:rFonts w:cs="Times New Roman"/>
          <w:color w:val="auto"/>
          <w:highlight w:val="none"/>
        </w:rPr>
        <w:t>作用，据此发展了SNCR法，一般SNCR系统设计效率为40～60%。</w:t>
      </w:r>
    </w:p>
    <w:p>
      <w:pPr>
        <w:ind w:firstLine="640"/>
        <w:rPr>
          <w:rFonts w:cs="Times New Roman"/>
          <w:color w:val="auto"/>
          <w:highlight w:val="none"/>
        </w:rPr>
      </w:pPr>
      <w:r>
        <w:rPr>
          <w:rFonts w:cs="Times New Roman"/>
          <w:color w:val="auto"/>
          <w:highlight w:val="none"/>
        </w:rPr>
        <w:t>③SER协效还原法脱硝技术——SER协效还原法脱硝技术是采用特定脱硝剂（由高分子分散剂、催化剂、高分子助剂、改性尿素组成，高分子分散剂将增效剂均匀分散在尿素中，提高反应活性），用气力输送装置把粉末状脱硝剂直接送入炉膛，喷射的温度范围在550～1200℃之间，最佳温度在850℃，使尿素在催化剂作用下与烟气中NOx发生反应，达到NOx目的，脱硝效率80～90%。具有工艺系统简单，操作方便，运行维护成本较低，固态粉末状运输、储存安全方便，无二次污染，脱硝反应灵敏，效率高等特点。</w:t>
      </w:r>
    </w:p>
    <w:p>
      <w:pPr>
        <w:ind w:firstLine="640"/>
        <w:rPr>
          <w:rFonts w:cs="Times New Roman"/>
          <w:color w:val="auto"/>
          <w:highlight w:val="none"/>
        </w:rPr>
      </w:pPr>
      <w:r>
        <w:rPr>
          <w:rFonts w:cs="Times New Roman"/>
          <w:color w:val="auto"/>
          <w:highlight w:val="none"/>
        </w:rPr>
        <w:t>④脱硝脱硫一体化PNCR新技术——PNCR新技术是光大国际焚烧所2016年自主研发的技术，其高分子脱硝剂是整个PNCR技术的核心。脱硝剂是以高分子材料作为载体，把氨基成分聚合负载在高分子材料上，形成粉体状材质。本粉末材料利用气力输送装置直接喷入炉膛中，喷射的温度窗口在800~900℃之间，高温下氨基和高分子连接的化学键断裂，释放出大量的含氨基官能团，氨基与烟气中NOx发生反应，进而达到脱除NOx目的。</w:t>
      </w:r>
    </w:p>
    <w:p>
      <w:pPr>
        <w:ind w:firstLine="640"/>
        <w:rPr>
          <w:rFonts w:cs="Times New Roman"/>
          <w:color w:val="auto"/>
          <w:highlight w:val="none"/>
        </w:rPr>
      </w:pPr>
      <w:r>
        <w:rPr>
          <w:rFonts w:cs="Times New Roman"/>
          <w:color w:val="auto"/>
          <w:highlight w:val="none"/>
        </w:rPr>
        <w:t>⑤ZYY干法深度脱硫、脱硝技术——是根据SO</w:t>
      </w:r>
      <w:r>
        <w:rPr>
          <w:rFonts w:cs="Times New Roman"/>
          <w:color w:val="auto"/>
          <w:highlight w:val="none"/>
          <w:vertAlign w:val="subscript"/>
        </w:rPr>
        <w:t>2</w:t>
      </w:r>
      <w:r>
        <w:rPr>
          <w:rFonts w:cs="Times New Roman"/>
          <w:color w:val="auto"/>
          <w:highlight w:val="none"/>
        </w:rPr>
        <w:t>、NO</w:t>
      </w:r>
      <w:r>
        <w:rPr>
          <w:rFonts w:cs="Times New Roman"/>
          <w:color w:val="auto"/>
          <w:highlight w:val="none"/>
          <w:vertAlign w:val="subscript"/>
        </w:rPr>
        <w:t>X</w:t>
      </w:r>
      <w:r>
        <w:rPr>
          <w:rFonts w:cs="Times New Roman"/>
          <w:color w:val="auto"/>
          <w:highlight w:val="none"/>
        </w:rPr>
        <w:t>的高低，智能控制罗茨风机、给料器等，科学合理地将尿素和“脱硫脱硝催化剂”（催化剂为铂、铑）通过共同的管道和喷枪均匀输入炉膛，直接在炉膛内降低污染物排放浓度。</w:t>
      </w:r>
    </w:p>
    <w:p>
      <w:pPr>
        <w:ind w:firstLine="640"/>
        <w:rPr>
          <w:rFonts w:cs="Times New Roman"/>
          <w:color w:val="auto"/>
          <w:highlight w:val="none"/>
        </w:rPr>
      </w:pPr>
      <w:r>
        <w:rPr>
          <w:rFonts w:cs="Times New Roman"/>
          <w:color w:val="auto"/>
          <w:highlight w:val="none"/>
        </w:rPr>
        <w:t>（7）恶臭气体</w:t>
      </w:r>
    </w:p>
    <w:p>
      <w:pPr>
        <w:ind w:firstLine="640"/>
        <w:rPr>
          <w:rFonts w:cs="Times New Roman"/>
          <w:color w:val="auto"/>
          <w:highlight w:val="none"/>
        </w:rPr>
      </w:pPr>
      <w:r>
        <w:rPr>
          <w:rFonts w:cs="Times New Roman"/>
          <w:color w:val="auto"/>
          <w:highlight w:val="none"/>
        </w:rPr>
        <w:t>由于垃圾车进出卸料大厅，且开启卸料门卸料，卸料大厅将会产生臭气，在卸料大厅入口处设置空气幕，开启空气幕，可防止臭气外溢。由于垃圾仓处于负压状态，卸料大厅空气会经过卸料门门缝等缝隙，进入垃圾仓，从而使卸料大厅相对室外处于负压，不会经过缝隙等向外散逸臭气。</w:t>
      </w:r>
    </w:p>
    <w:p>
      <w:pPr>
        <w:pStyle w:val="4"/>
        <w:spacing w:before="156" w:after="156"/>
        <w:ind w:left="0" w:leftChars="0" w:firstLine="0" w:firstLineChars="0"/>
        <w:rPr>
          <w:rFonts w:ascii="Times New Roman" w:hAnsi="Times New Roman" w:eastAsia="仿宋_GB2312" w:cs="Times New Roman"/>
          <w:b/>
          <w:bCs/>
          <w:color w:val="auto"/>
          <w:szCs w:val="22"/>
          <w:highlight w:val="none"/>
          <w:lang w:val="zh-CN"/>
        </w:rPr>
      </w:pPr>
      <w:bookmarkStart w:id="54" w:name="_Toc22473"/>
      <w:r>
        <w:rPr>
          <w:rFonts w:ascii="Times New Roman" w:hAnsi="Times New Roman" w:eastAsia="仿宋_GB2312" w:cs="Times New Roman"/>
          <w:b/>
          <w:bCs/>
          <w:color w:val="auto"/>
          <w:szCs w:val="22"/>
          <w:highlight w:val="none"/>
          <w:lang w:val="zh-CN"/>
        </w:rPr>
        <w:t>4.2.3 河南省生活垃圾焚烧企业治理情况</w:t>
      </w:r>
      <w:bookmarkEnd w:id="54"/>
    </w:p>
    <w:p>
      <w:pPr>
        <w:ind w:firstLine="640"/>
        <w:rPr>
          <w:rFonts w:cs="Times New Roman"/>
          <w:color w:val="auto"/>
          <w:highlight w:val="none"/>
        </w:rPr>
      </w:pPr>
      <w:r>
        <w:rPr>
          <w:rFonts w:cs="Times New Roman"/>
          <w:color w:val="auto"/>
          <w:highlight w:val="none"/>
        </w:rPr>
        <w:t>河南省生活垃圾焚烧企业烟气处理工艺一般为SNCR+半干法+干法+活性炭喷射+布袋除尘器或SNCR＋半干法＋干法＋活性炭＋PNCR，</w:t>
      </w:r>
      <w:r>
        <w:rPr>
          <w:rFonts w:hint="eastAsia" w:cs="Times New Roman"/>
          <w:color w:val="auto"/>
          <w:highlight w:val="none"/>
          <w:lang w:val="en-US" w:eastAsia="zh-CN"/>
        </w:rPr>
        <w:t>18家企业</w:t>
      </w:r>
      <w:r>
        <w:rPr>
          <w:rFonts w:cs="Times New Roman"/>
          <w:color w:val="auto"/>
          <w:highlight w:val="none"/>
        </w:rPr>
        <w:t>采用SCR处理工艺，郑州荥锦、济源企业采用了ZYY工艺</w:t>
      </w:r>
      <w:bookmarkStart w:id="55" w:name="_Hlk120523637"/>
      <w:r>
        <w:rPr>
          <w:rFonts w:cs="Times New Roman"/>
          <w:color w:val="auto"/>
          <w:highlight w:val="none"/>
        </w:rPr>
        <w:t>。</w:t>
      </w:r>
      <w:bookmarkEnd w:id="55"/>
      <w:r>
        <w:rPr>
          <w:rFonts w:cs="Times New Roman"/>
          <w:color w:val="auto"/>
          <w:highlight w:val="none"/>
        </w:rPr>
        <w:t>河南省生活垃圾焚烧企业所采用治理工艺见表4.2-1。</w:t>
      </w:r>
    </w:p>
    <w:p>
      <w:pPr>
        <w:ind w:left="0" w:leftChars="0" w:firstLine="0" w:firstLineChars="0"/>
        <w:rPr>
          <w:rFonts w:cs="Times New Roman"/>
          <w:b/>
          <w:bCs/>
          <w:color w:val="auto"/>
          <w:szCs w:val="32"/>
          <w:highlight w:val="none"/>
        </w:rPr>
      </w:pPr>
      <w:r>
        <w:rPr>
          <w:rFonts w:cs="Times New Roman"/>
          <w:b/>
          <w:bCs/>
          <w:color w:val="auto"/>
          <w:szCs w:val="32"/>
          <w:highlight w:val="none"/>
        </w:rPr>
        <w:t xml:space="preserve">表4.2-1    </w:t>
      </w:r>
      <w:r>
        <w:rPr>
          <w:rFonts w:hint="eastAsia" w:cs="Times New Roman"/>
          <w:b/>
          <w:bCs/>
          <w:color w:val="auto"/>
          <w:szCs w:val="32"/>
          <w:highlight w:val="none"/>
          <w:lang w:val="en-US" w:eastAsia="zh-CN"/>
        </w:rPr>
        <w:t xml:space="preserve">  </w:t>
      </w:r>
      <w:r>
        <w:rPr>
          <w:rFonts w:cs="Times New Roman"/>
          <w:b/>
          <w:bCs/>
          <w:color w:val="auto"/>
          <w:szCs w:val="32"/>
          <w:highlight w:val="none"/>
        </w:rPr>
        <w:t>河南省生活垃圾焚烧企业治理工艺</w:t>
      </w:r>
    </w:p>
    <w:tbl>
      <w:tblPr>
        <w:tblStyle w:val="13"/>
        <w:tblW w:w="5000" w:type="pct"/>
        <w:tblInd w:w="96" w:type="dxa"/>
        <w:tblLayout w:type="fixed"/>
        <w:tblCellMar>
          <w:top w:w="0" w:type="dxa"/>
          <w:left w:w="108" w:type="dxa"/>
          <w:bottom w:w="0" w:type="dxa"/>
          <w:right w:w="108" w:type="dxa"/>
        </w:tblCellMar>
      </w:tblPr>
      <w:tblGrid>
        <w:gridCol w:w="626"/>
        <w:gridCol w:w="1717"/>
        <w:gridCol w:w="6179"/>
      </w:tblGrid>
      <w:tr>
        <w:tblPrEx>
          <w:tblCellMar>
            <w:top w:w="0" w:type="dxa"/>
            <w:left w:w="108" w:type="dxa"/>
            <w:bottom w:w="0" w:type="dxa"/>
            <w:right w:w="108" w:type="dxa"/>
          </w:tblCellMar>
        </w:tblPrEx>
        <w:trPr>
          <w:trHeight w:val="420" w:hRule="atLeast"/>
          <w:tblHeader/>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b/>
                <w:bCs/>
                <w:color w:val="auto"/>
                <w:sz w:val="24"/>
                <w:szCs w:val="24"/>
                <w:highlight w:val="none"/>
              </w:rPr>
            </w:pPr>
            <w:r>
              <w:rPr>
                <w:rFonts w:cs="Times New Roman"/>
                <w:b/>
                <w:bCs/>
                <w:color w:val="auto"/>
                <w:kern w:val="0"/>
                <w:sz w:val="24"/>
                <w:szCs w:val="24"/>
                <w:highlight w:val="none"/>
                <w:lang w:bidi="ar"/>
              </w:rPr>
              <w:t>序号</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b/>
                <w:bCs/>
                <w:color w:val="auto"/>
                <w:sz w:val="24"/>
                <w:szCs w:val="24"/>
                <w:highlight w:val="none"/>
              </w:rPr>
            </w:pPr>
            <w:r>
              <w:rPr>
                <w:rFonts w:cs="Times New Roman"/>
                <w:b/>
                <w:bCs/>
                <w:color w:val="auto"/>
                <w:sz w:val="24"/>
                <w:szCs w:val="24"/>
                <w:highlight w:val="none"/>
              </w:rPr>
              <w:t>企业名称</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b/>
                <w:bCs/>
                <w:color w:val="auto"/>
                <w:kern w:val="0"/>
                <w:sz w:val="24"/>
                <w:szCs w:val="24"/>
                <w:highlight w:val="none"/>
                <w:lang w:bidi="ar"/>
              </w:rPr>
            </w:pPr>
            <w:r>
              <w:rPr>
                <w:rFonts w:cs="Times New Roman"/>
                <w:b/>
                <w:bCs/>
                <w:color w:val="auto"/>
                <w:kern w:val="0"/>
                <w:sz w:val="24"/>
                <w:szCs w:val="24"/>
                <w:highlight w:val="none"/>
                <w:lang w:bidi="ar"/>
              </w:rPr>
              <w:t>烟气处理工艺</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1</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企业1</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SNCR+ZYY+</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2</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企业2</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3</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企业3</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4</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企业4</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湿法脱酸</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5</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企业5</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半干法脱酸</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干法脱酸</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6</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企业6</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7</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企业7</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半干法脱酸</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干石灰喷射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8</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企业8</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9</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企业9</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cs="Times New Roman"/>
                <w:color w:val="auto"/>
                <w:sz w:val="24"/>
                <w:szCs w:val="24"/>
                <w:highlight w:val="none"/>
              </w:rPr>
              <w:t>PNCR＋旋风分离＋半干法脱硫＋布袋除尘</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10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企业10</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11</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企业11</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炉内脱硝</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半干法脱硫</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12</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企业12</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13</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企业13</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炉内脱硝</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半干法脱酸</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干法脱酸</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14</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企业14</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SNCR+PNCR+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15</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企业15</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炉内脱硝</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半干法脱酸</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16</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企业16</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炉内脱硝</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半干法脱酸</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17</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企业17</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18</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企业18</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SNCR+半半干法+干法+活性炭喷射+袋式除尘+PNCR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19</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企业19</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20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企业20</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21</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企业21</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活性炭喷射烟气净化处理系统</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22</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企业22</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干粉喷射系统</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23</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企业23</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干粉喷射系统</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24</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企业24</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SNCR+PNCR+</w:t>
            </w:r>
            <w:r>
              <w:rPr>
                <w:rFonts w:cs="Times New Roman"/>
                <w:color w:val="auto"/>
                <w:kern w:val="0"/>
                <w:sz w:val="24"/>
                <w:szCs w:val="24"/>
                <w:highlight w:val="none"/>
                <w:lang w:bidi="ar"/>
              </w:rPr>
              <w:t>半干法＋干法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25</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企业25</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干粉喷射系统</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26</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企业26</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Times New Roman"/>
                <w:color w:val="auto"/>
                <w:sz w:val="24"/>
                <w:szCs w:val="24"/>
                <w:highlight w:val="none"/>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活性炭喷射烟气净化处理系统</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27</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企业27</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干粉喷射系统</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28</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企业28</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 xml:space="preserve">SNCR+ </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 xml:space="preserve">+ </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 xml:space="preserve">+ </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w:t>
            </w:r>
            <w:r>
              <w:rPr>
                <w:rFonts w:eastAsia="宋体" w:cs="Times New Roman"/>
                <w:color w:val="auto"/>
                <w:kern w:val="0"/>
                <w:sz w:val="24"/>
                <w:szCs w:val="24"/>
                <w:highlight w:val="none"/>
                <w:lang w:bidi="ar"/>
              </w:rPr>
              <w:t>+ 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29</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企业29</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2"/>
                <w:sz w:val="24"/>
                <w:szCs w:val="24"/>
                <w:highlight w:val="none"/>
                <w:lang w:val="en-US" w:eastAsia="zh-CN" w:bidi="ar-SA"/>
              </w:rPr>
            </w:pPr>
            <w:r>
              <w:rPr>
                <w:rFonts w:eastAsia="宋体" w:cs="Times New Roman"/>
                <w:color w:val="auto"/>
                <w:kern w:val="0"/>
                <w:sz w:val="24"/>
                <w:szCs w:val="24"/>
                <w:highlight w:val="none"/>
                <w:lang w:bidi="ar"/>
              </w:rPr>
              <w:t>SNCR+ PNCR+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 xml:space="preserve">+ </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 xml:space="preserve">+ </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30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企业30</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2"/>
                <w:sz w:val="24"/>
                <w:szCs w:val="24"/>
                <w:highlight w:val="none"/>
                <w:lang w:val="en-US" w:eastAsia="zh-CN" w:bidi="ar-SA"/>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31</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企业31</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2"/>
                <w:sz w:val="24"/>
                <w:szCs w:val="24"/>
                <w:highlight w:val="none"/>
                <w:lang w:val="en-US" w:eastAsia="zh-CN" w:bidi="ar-SA"/>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干粉喷射系统</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r>
              <w:rPr>
                <w:rFonts w:eastAsia="宋体" w:cs="Times New Roman"/>
                <w:color w:val="auto"/>
                <w:kern w:val="0"/>
                <w:sz w:val="24"/>
                <w:szCs w:val="24"/>
                <w:highlight w:val="none"/>
                <w:lang w:bidi="ar"/>
              </w:rPr>
              <w:t>+SCR</w:t>
            </w:r>
            <w:r>
              <w:rPr>
                <w:rFonts w:cs="Times New Roman"/>
                <w:color w:val="auto"/>
                <w:kern w:val="0"/>
                <w:sz w:val="24"/>
                <w:szCs w:val="24"/>
                <w:highlight w:val="none"/>
                <w:lang w:bidi="ar"/>
              </w:rPr>
              <w:t>（在建）</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32</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企业32</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2"/>
                <w:sz w:val="24"/>
                <w:szCs w:val="24"/>
                <w:highlight w:val="none"/>
                <w:lang w:val="en-US" w:eastAsia="zh-CN" w:bidi="ar-SA"/>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33</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企业33</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2"/>
                <w:sz w:val="24"/>
                <w:szCs w:val="24"/>
                <w:highlight w:val="none"/>
                <w:lang w:val="en-US" w:eastAsia="zh-CN" w:bidi="ar-SA"/>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34</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企业34</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2"/>
                <w:sz w:val="24"/>
                <w:szCs w:val="24"/>
                <w:highlight w:val="none"/>
                <w:lang w:val="en-US" w:eastAsia="zh-CN" w:bidi="ar-SA"/>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35</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企业35</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2"/>
                <w:sz w:val="24"/>
                <w:szCs w:val="24"/>
                <w:highlight w:val="none"/>
                <w:lang w:val="en-US" w:eastAsia="zh-CN" w:bidi="ar-SA"/>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eastAsia="宋体" w:cs="Times New Roman"/>
                <w:color w:val="auto"/>
                <w:kern w:val="0"/>
                <w:sz w:val="24"/>
                <w:szCs w:val="24"/>
                <w:highlight w:val="none"/>
                <w:lang w:bidi="ar"/>
              </w:rPr>
              <w:t>36</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企业36</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2"/>
                <w:sz w:val="24"/>
                <w:szCs w:val="24"/>
                <w:highlight w:val="none"/>
                <w:lang w:val="en-US" w:eastAsia="zh-CN" w:bidi="ar-SA"/>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布袋除尘并使用</w:t>
            </w:r>
            <w:r>
              <w:rPr>
                <w:rFonts w:eastAsia="宋体" w:cs="Times New Roman"/>
                <w:color w:val="auto"/>
                <w:kern w:val="0"/>
                <w:sz w:val="24"/>
                <w:szCs w:val="24"/>
                <w:highlight w:val="none"/>
                <w:lang w:bidi="ar"/>
              </w:rPr>
              <w:t>PNCR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37</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企业37</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38</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sz w:val="24"/>
                <w:szCs w:val="24"/>
                <w:highlight w:val="none"/>
              </w:rPr>
            </w:pPr>
            <w:r>
              <w:rPr>
                <w:rFonts w:cs="Times New Roman"/>
                <w:color w:val="auto"/>
                <w:kern w:val="0"/>
                <w:sz w:val="24"/>
                <w:szCs w:val="24"/>
                <w:highlight w:val="none"/>
                <w:lang w:bidi="ar"/>
              </w:rPr>
              <w:t>企业38</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cs="Times New Roman"/>
                <w:color w:val="auto"/>
                <w:kern w:val="0"/>
                <w:sz w:val="24"/>
                <w:szCs w:val="24"/>
                <w:highlight w:val="none"/>
                <w:lang w:bidi="ar"/>
              </w:rPr>
              <w:t>SNCR+半干法＋干法＋活性碳喷射+袋式除尘</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39</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企业39</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SNCR+PNCR+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企业40</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SNCR+PNCR+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41</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企业41</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42</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企业42</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半干法＋干法＋活性碳喷射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43</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企业43</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cs="Times New Roman"/>
                <w:color w:val="auto"/>
                <w:kern w:val="0"/>
                <w:sz w:val="24"/>
                <w:szCs w:val="24"/>
                <w:highlight w:val="none"/>
                <w:lang w:bidi="ar"/>
              </w:rPr>
              <w:t>PNCR＋旋风分离＋半干法脱硫＋布袋除尘</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44</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企业44</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cs="Times New Roman"/>
                <w:color w:val="auto"/>
                <w:kern w:val="0"/>
                <w:sz w:val="24"/>
                <w:szCs w:val="24"/>
                <w:highlight w:val="none"/>
                <w:lang w:bidi="ar"/>
              </w:rPr>
              <w:t>SNCR+机械旋转喷雾干燥净化塔+干法脱硫+活性炭喷射+布袋除尘</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45</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企业45</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半干法＋干法＋活性炭喷射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w:t>
            </w:r>
          </w:p>
        </w:tc>
      </w:tr>
      <w:tr>
        <w:tblPrEx>
          <w:tblCellMar>
            <w:top w:w="0" w:type="dxa"/>
            <w:left w:w="108" w:type="dxa"/>
            <w:bottom w:w="0" w:type="dxa"/>
            <w:right w:w="108" w:type="dxa"/>
          </w:tblCellMar>
        </w:tblPrEx>
        <w:trPr>
          <w:trHeight w:val="443"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46</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企业46</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半干法＋干法＋活性碳喷射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47</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企业47</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w:t>
            </w:r>
            <w:r>
              <w:rPr>
                <w:rFonts w:eastAsia="宋体" w:cs="Times New Roman"/>
                <w:color w:val="auto"/>
                <w:kern w:val="0"/>
                <w:sz w:val="24"/>
                <w:szCs w:val="24"/>
                <w:highlight w:val="none"/>
                <w:lang w:bidi="ar"/>
              </w:rPr>
              <w:t>PNCR</w:t>
            </w:r>
            <w:r>
              <w:rPr>
                <w:rFonts w:cs="Times New Roman"/>
                <w:color w:val="auto"/>
                <w:kern w:val="0"/>
                <w:sz w:val="24"/>
                <w:szCs w:val="24"/>
                <w:highlight w:val="none"/>
                <w:lang w:bidi="ar"/>
              </w:rPr>
              <w:t>＋半干法＋干法＋活性炭</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48</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企业48</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w:t>
            </w:r>
            <w:r>
              <w:rPr>
                <w:rFonts w:eastAsia="宋体" w:cs="Times New Roman"/>
                <w:color w:val="auto"/>
                <w:kern w:val="0"/>
                <w:sz w:val="24"/>
                <w:szCs w:val="24"/>
                <w:highlight w:val="none"/>
                <w:lang w:bidi="ar"/>
              </w:rPr>
              <w:t>PNCR</w:t>
            </w:r>
            <w:r>
              <w:rPr>
                <w:rFonts w:cs="Times New Roman"/>
                <w:color w:val="auto"/>
                <w:kern w:val="0"/>
                <w:sz w:val="24"/>
                <w:szCs w:val="24"/>
                <w:highlight w:val="none"/>
                <w:lang w:bidi="ar"/>
              </w:rPr>
              <w:t>＋半干法＋干法＋活性碳</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49</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企业49</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半干法＋干法＋活性碳喷射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企业50</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51</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企业51</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52</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企业52</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SNCR+PNCR+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53</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企业53</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半干法脱酸</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消石灰喷射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54</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企业54</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55</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企业55</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SNCR+PNCR+</w:t>
            </w:r>
            <w:r>
              <w:rPr>
                <w:rFonts w:cs="Times New Roman"/>
                <w:color w:val="auto"/>
                <w:kern w:val="0"/>
                <w:sz w:val="24"/>
                <w:szCs w:val="24"/>
                <w:highlight w:val="none"/>
                <w:lang w:bidi="ar"/>
              </w:rPr>
              <w:t>半干法+干法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56</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企业56</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57</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企业57</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58</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企业58</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SNCR+PNCR+</w:t>
            </w:r>
            <w:r>
              <w:rPr>
                <w:rFonts w:cs="Times New Roman"/>
                <w:color w:val="auto"/>
                <w:kern w:val="0"/>
                <w:sz w:val="24"/>
                <w:szCs w:val="24"/>
                <w:highlight w:val="none"/>
                <w:lang w:bidi="ar"/>
              </w:rPr>
              <w:t>半干法+干法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59</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企业59</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60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企业60</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eastAsia="宋体" w:cs="Times New Roman"/>
                <w:color w:val="auto"/>
                <w:kern w:val="0"/>
                <w:sz w:val="24"/>
                <w:szCs w:val="24"/>
                <w:highlight w:val="none"/>
                <w:lang w:bidi="ar"/>
              </w:rPr>
              <w:t>61</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企业61</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活性炭喷射+布袋除尘器</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62</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企业62</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活性炭吸附</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袋式除尘器</w:t>
            </w:r>
            <w:r>
              <w:rPr>
                <w:rFonts w:eastAsia="宋体" w:cs="Times New Roman"/>
                <w:color w:val="auto"/>
                <w:kern w:val="0"/>
                <w:sz w:val="24"/>
                <w:szCs w:val="24"/>
                <w:highlight w:val="none"/>
                <w:lang w:bidi="ar"/>
              </w:rPr>
              <w:t>+SCR</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63</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企业63</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干法+活性炭吸附+布袋除尘</w:t>
            </w:r>
          </w:p>
        </w:tc>
      </w:tr>
      <w:tr>
        <w:tblPrEx>
          <w:tblCellMar>
            <w:top w:w="0" w:type="dxa"/>
            <w:left w:w="108" w:type="dxa"/>
            <w:bottom w:w="0" w:type="dxa"/>
            <w:right w:w="108" w:type="dxa"/>
          </w:tblCellMar>
        </w:tblPrEx>
        <w:trPr>
          <w:trHeight w:val="420" w:hRule="atLeast"/>
        </w:trPr>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64</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Times New Roman"/>
                <w:color w:val="auto"/>
                <w:kern w:val="0"/>
                <w:sz w:val="24"/>
                <w:szCs w:val="24"/>
                <w:highlight w:val="none"/>
                <w:lang w:bidi="ar"/>
              </w:rPr>
            </w:pPr>
            <w:r>
              <w:rPr>
                <w:rFonts w:cs="Times New Roman"/>
                <w:color w:val="auto"/>
                <w:kern w:val="0"/>
                <w:sz w:val="24"/>
                <w:szCs w:val="24"/>
                <w:highlight w:val="none"/>
                <w:lang w:bidi="ar"/>
              </w:rPr>
              <w:t>企业64</w:t>
            </w:r>
          </w:p>
        </w:tc>
        <w:tc>
          <w:tcPr>
            <w:tcW w:w="61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ascii="Times New Roman" w:hAnsi="Times New Roman" w:eastAsia="仿宋_GB2312" w:cs="Times New Roman"/>
                <w:color w:val="auto"/>
                <w:kern w:val="0"/>
                <w:sz w:val="24"/>
                <w:szCs w:val="24"/>
                <w:highlight w:val="none"/>
                <w:lang w:val="en-US" w:eastAsia="zh-CN" w:bidi="ar"/>
              </w:rPr>
            </w:pPr>
            <w:r>
              <w:rPr>
                <w:rFonts w:eastAsia="宋体" w:cs="Times New Roman"/>
                <w:color w:val="auto"/>
                <w:kern w:val="0"/>
                <w:sz w:val="24"/>
                <w:szCs w:val="24"/>
                <w:highlight w:val="none"/>
                <w:lang w:bidi="ar"/>
              </w:rPr>
              <w:t>SNCR</w:t>
            </w:r>
            <w:r>
              <w:rPr>
                <w:rFonts w:cs="Times New Roman"/>
                <w:color w:val="auto"/>
                <w:kern w:val="0"/>
                <w:sz w:val="24"/>
                <w:szCs w:val="24"/>
                <w:highlight w:val="none"/>
                <w:lang w:bidi="ar"/>
              </w:rPr>
              <w:t>+</w:t>
            </w:r>
            <w:r>
              <w:rPr>
                <w:rFonts w:eastAsia="宋体" w:cs="Times New Roman"/>
                <w:color w:val="auto"/>
                <w:kern w:val="0"/>
                <w:sz w:val="24"/>
                <w:szCs w:val="24"/>
                <w:highlight w:val="none"/>
                <w:lang w:bidi="ar"/>
              </w:rPr>
              <w:t>ZYY</w:t>
            </w:r>
            <w:r>
              <w:rPr>
                <w:rFonts w:cs="Times New Roman"/>
                <w:color w:val="auto"/>
                <w:kern w:val="0"/>
                <w:sz w:val="24"/>
                <w:szCs w:val="24"/>
                <w:highlight w:val="none"/>
                <w:lang w:bidi="ar"/>
              </w:rPr>
              <w:t>+半干法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干法</w:t>
            </w:r>
            <w:r>
              <w:rPr>
                <w:rFonts w:eastAsia="宋体" w:cs="Times New Roman"/>
                <w:color w:val="auto"/>
                <w:kern w:val="0"/>
                <w:sz w:val="24"/>
                <w:szCs w:val="24"/>
                <w:highlight w:val="none"/>
                <w:lang w:bidi="ar"/>
              </w:rPr>
              <w:t>+</w:t>
            </w:r>
            <w:r>
              <w:rPr>
                <w:rFonts w:cs="Times New Roman"/>
                <w:color w:val="auto"/>
                <w:kern w:val="0"/>
                <w:sz w:val="24"/>
                <w:szCs w:val="24"/>
                <w:highlight w:val="none"/>
                <w:lang w:bidi="ar"/>
              </w:rPr>
              <w:t>活性炭喷射+布袋除尘器</w:t>
            </w:r>
          </w:p>
        </w:tc>
      </w:tr>
    </w:tbl>
    <w:p>
      <w:pPr>
        <w:spacing w:line="240" w:lineRule="exact"/>
        <w:ind w:firstLine="640"/>
        <w:rPr>
          <w:rFonts w:cs="Times New Roman"/>
          <w:color w:val="auto"/>
          <w:szCs w:val="32"/>
          <w:highlight w:val="none"/>
        </w:rPr>
      </w:pPr>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56" w:name="_Toc22482"/>
      <w:r>
        <w:rPr>
          <w:rFonts w:ascii="Times New Roman" w:hAnsi="Times New Roman" w:eastAsia="仿宋_GB2312" w:cs="Times New Roman"/>
          <w:b/>
          <w:bCs/>
          <w:color w:val="auto"/>
          <w:szCs w:val="22"/>
          <w:highlight w:val="none"/>
        </w:rPr>
        <w:t>4.3</w:t>
      </w:r>
      <w:r>
        <w:rPr>
          <w:rFonts w:hint="eastAsia" w:eastAsia="仿宋_GB2312" w:cs="Times New Roman"/>
          <w:b/>
          <w:bCs/>
          <w:color w:val="auto"/>
          <w:szCs w:val="22"/>
          <w:highlight w:val="none"/>
          <w:lang w:val="en-US" w:eastAsia="zh-CN"/>
        </w:rPr>
        <w:t xml:space="preserve"> </w:t>
      </w:r>
      <w:r>
        <w:rPr>
          <w:rFonts w:ascii="Times New Roman" w:hAnsi="Times New Roman" w:eastAsia="仿宋_GB2312" w:cs="Times New Roman"/>
          <w:b/>
          <w:bCs/>
          <w:color w:val="auto"/>
          <w:szCs w:val="22"/>
          <w:highlight w:val="none"/>
        </w:rPr>
        <w:t>环境管理现状</w:t>
      </w:r>
      <w:bookmarkEnd w:id="56"/>
    </w:p>
    <w:p>
      <w:pPr>
        <w:pStyle w:val="4"/>
        <w:spacing w:before="156" w:after="156"/>
        <w:ind w:left="0" w:leftChars="0" w:firstLine="0" w:firstLineChars="0"/>
        <w:rPr>
          <w:rFonts w:ascii="Times New Roman" w:hAnsi="Times New Roman" w:eastAsia="仿宋_GB2312" w:cs="Times New Roman"/>
          <w:b/>
          <w:bCs/>
          <w:color w:val="auto"/>
          <w:szCs w:val="22"/>
          <w:highlight w:val="none"/>
          <w:lang w:val="zh-CN"/>
        </w:rPr>
      </w:pPr>
      <w:bookmarkStart w:id="57" w:name="_Toc32103"/>
      <w:r>
        <w:rPr>
          <w:rFonts w:ascii="Times New Roman" w:hAnsi="Times New Roman" w:eastAsia="仿宋_GB2312" w:cs="Times New Roman"/>
          <w:b/>
          <w:bCs/>
          <w:color w:val="auto"/>
          <w:szCs w:val="22"/>
          <w:highlight w:val="none"/>
          <w:lang w:val="zh-CN"/>
        </w:rPr>
        <w:t>4.3.1 国家管理要求</w:t>
      </w:r>
      <w:bookmarkEnd w:id="57"/>
    </w:p>
    <w:p>
      <w:pPr>
        <w:widowControl/>
        <w:shd w:val="clear" w:color="auto" w:fill="FFFFFF"/>
        <w:spacing w:line="450" w:lineRule="atLeast"/>
        <w:ind w:firstLine="640"/>
        <w:jc w:val="left"/>
        <w:rPr>
          <w:rFonts w:eastAsia="宋体" w:cs="Times New Roman"/>
          <w:color w:val="auto"/>
          <w:kern w:val="0"/>
          <w:sz w:val="24"/>
          <w:szCs w:val="24"/>
          <w:highlight w:val="none"/>
        </w:rPr>
      </w:pPr>
      <w:r>
        <w:rPr>
          <w:rFonts w:hint="eastAsia" w:cs="Times New Roman"/>
          <w:color w:val="auto"/>
          <w:highlight w:val="none"/>
          <w:lang w:eastAsia="zh-CN"/>
        </w:rPr>
        <w:t>（</w:t>
      </w:r>
      <w:r>
        <w:rPr>
          <w:rFonts w:hint="eastAsia" w:cs="Times New Roman"/>
          <w:color w:val="auto"/>
          <w:highlight w:val="none"/>
          <w:lang w:val="en-US" w:eastAsia="zh-CN"/>
        </w:rPr>
        <w:t>1</w:t>
      </w:r>
      <w:r>
        <w:rPr>
          <w:rFonts w:hint="eastAsia" w:cs="Times New Roman"/>
          <w:color w:val="auto"/>
          <w:highlight w:val="none"/>
          <w:lang w:eastAsia="zh-CN"/>
        </w:rPr>
        <w:t>）</w:t>
      </w:r>
      <w:r>
        <w:rPr>
          <w:rFonts w:cs="Times New Roman"/>
          <w:color w:val="auto"/>
          <w:highlight w:val="none"/>
        </w:rPr>
        <w:t>2014年7月1日发布的</w:t>
      </w:r>
      <w:bookmarkStart w:id="58" w:name="_Hlk120528757"/>
      <w:r>
        <w:rPr>
          <w:rFonts w:cs="Times New Roman"/>
          <w:color w:val="auto"/>
          <w:highlight w:val="none"/>
        </w:rPr>
        <w:t>《生活垃圾焚烧污染控制标准》（GB 18485-2014）</w:t>
      </w:r>
      <w:bookmarkEnd w:id="58"/>
      <w:r>
        <w:rPr>
          <w:rFonts w:cs="Times New Roman"/>
          <w:color w:val="auto"/>
          <w:highlight w:val="none"/>
        </w:rPr>
        <w:t>规定：颗粒物、氮氧化物、二氧化硫、氯化氢、一氧化碳小时均值排放限值分别为：30</w:t>
      </w:r>
      <w:bookmarkStart w:id="59" w:name="_Hlk120525506"/>
      <w:r>
        <w:rPr>
          <w:rFonts w:cs="Times New Roman"/>
          <w:color w:val="auto"/>
          <w:highlight w:val="none"/>
        </w:rPr>
        <w:t>、</w:t>
      </w:r>
      <w:bookmarkEnd w:id="59"/>
      <w:r>
        <w:rPr>
          <w:rFonts w:cs="Times New Roman"/>
          <w:color w:val="auto"/>
          <w:highlight w:val="none"/>
        </w:rPr>
        <w:t>300、100、60</w:t>
      </w:r>
      <w:bookmarkStart w:id="60" w:name="_Hlk120525526"/>
      <w:r>
        <w:rPr>
          <w:rFonts w:cs="Times New Roman"/>
          <w:color w:val="auto"/>
          <w:highlight w:val="none"/>
        </w:rPr>
        <w:t>、100 mg/m</w:t>
      </w:r>
      <w:r>
        <w:rPr>
          <w:rFonts w:cs="Times New Roman"/>
          <w:color w:val="auto"/>
          <w:highlight w:val="none"/>
          <w:vertAlign w:val="superscript"/>
        </w:rPr>
        <w:t>3</w:t>
      </w:r>
      <w:bookmarkEnd w:id="60"/>
      <w:r>
        <w:rPr>
          <w:rFonts w:cs="Times New Roman"/>
          <w:color w:val="auto"/>
          <w:highlight w:val="none"/>
        </w:rPr>
        <w:t>，日均值排放限值分别为20、250、80、50、80mg/m</w:t>
      </w:r>
      <w:r>
        <w:rPr>
          <w:rFonts w:cs="Times New Roman"/>
          <w:color w:val="auto"/>
          <w:highlight w:val="none"/>
          <w:vertAlign w:val="superscript"/>
        </w:rPr>
        <w:t>3</w:t>
      </w:r>
      <w:r>
        <w:rPr>
          <w:rFonts w:cs="Times New Roman"/>
          <w:color w:val="auto"/>
          <w:highlight w:val="none"/>
        </w:rPr>
        <w:t>；汞及其化合物测定均值排放限值为0.05 mg/m</w:t>
      </w:r>
      <w:r>
        <w:rPr>
          <w:rFonts w:cs="Times New Roman"/>
          <w:color w:val="auto"/>
          <w:highlight w:val="none"/>
          <w:vertAlign w:val="superscript"/>
        </w:rPr>
        <w:t>3</w:t>
      </w:r>
      <w:r>
        <w:rPr>
          <w:rFonts w:cs="Times New Roman"/>
          <w:color w:val="auto"/>
          <w:highlight w:val="none"/>
        </w:rPr>
        <w:t>；镉、铊及其化合物</w:t>
      </w:r>
      <w:bookmarkStart w:id="61" w:name="_Hlk120525350"/>
      <w:r>
        <w:rPr>
          <w:rFonts w:cs="Times New Roman"/>
          <w:color w:val="auto"/>
          <w:highlight w:val="none"/>
        </w:rPr>
        <w:t>测定均值排放限值为0.1 mg/m</w:t>
      </w:r>
      <w:r>
        <w:rPr>
          <w:rFonts w:cs="Times New Roman"/>
          <w:color w:val="auto"/>
          <w:highlight w:val="none"/>
          <w:vertAlign w:val="superscript"/>
        </w:rPr>
        <w:t>3</w:t>
      </w:r>
      <w:bookmarkEnd w:id="61"/>
      <w:r>
        <w:rPr>
          <w:rFonts w:cs="Times New Roman"/>
          <w:color w:val="auto"/>
          <w:highlight w:val="none"/>
        </w:rPr>
        <w:t>；锑、砷、铅、铬、钴、铜、锰、镍及其化合物测定均值排放限值为1.0 mg/m</w:t>
      </w:r>
      <w:r>
        <w:rPr>
          <w:rFonts w:cs="Times New Roman"/>
          <w:color w:val="auto"/>
          <w:highlight w:val="none"/>
          <w:vertAlign w:val="superscript"/>
        </w:rPr>
        <w:t>3</w:t>
      </w:r>
      <w:r>
        <w:rPr>
          <w:rFonts w:cs="Times New Roman"/>
          <w:color w:val="auto"/>
          <w:highlight w:val="none"/>
        </w:rPr>
        <w:t xml:space="preserve">；二噁英测定均值排放限值为0.1 ng </w:t>
      </w:r>
      <w:r>
        <w:rPr>
          <w:rFonts w:cs="Times New Roman"/>
          <w:color w:val="auto"/>
          <w:kern w:val="0"/>
          <w:sz w:val="28"/>
          <w:szCs w:val="28"/>
          <w:highlight w:val="none"/>
        </w:rPr>
        <w:t>TEQ/m</w:t>
      </w:r>
      <w:r>
        <w:rPr>
          <w:rFonts w:cs="Times New Roman"/>
          <w:color w:val="auto"/>
          <w:kern w:val="0"/>
          <w:sz w:val="28"/>
          <w:szCs w:val="28"/>
          <w:highlight w:val="none"/>
          <w:vertAlign w:val="superscript"/>
        </w:rPr>
        <w:t>3</w:t>
      </w:r>
      <w:r>
        <w:rPr>
          <w:rFonts w:eastAsia="宋体" w:cs="Times New Roman"/>
          <w:color w:val="auto"/>
          <w:kern w:val="0"/>
          <w:sz w:val="24"/>
          <w:szCs w:val="24"/>
          <w:highlight w:val="none"/>
        </w:rPr>
        <w:t>。</w:t>
      </w:r>
    </w:p>
    <w:p>
      <w:pPr>
        <w:widowControl/>
        <w:shd w:val="clear" w:color="auto" w:fill="FFFFFF"/>
        <w:spacing w:line="450" w:lineRule="atLeast"/>
        <w:ind w:firstLine="640"/>
        <w:jc w:val="left"/>
        <w:rPr>
          <w:rFonts w:cs="Times New Roman"/>
          <w:color w:val="auto"/>
          <w:highlight w:val="none"/>
        </w:rPr>
      </w:pPr>
      <w:r>
        <w:rPr>
          <w:rFonts w:hint="eastAsia" w:cs="Times New Roman"/>
          <w:color w:val="auto"/>
          <w:highlight w:val="none"/>
          <w:lang w:eastAsia="zh-CN"/>
        </w:rPr>
        <w:t>（</w:t>
      </w:r>
      <w:r>
        <w:rPr>
          <w:rFonts w:hint="eastAsia" w:cs="Times New Roman"/>
          <w:color w:val="auto"/>
          <w:highlight w:val="none"/>
          <w:lang w:val="en-US" w:eastAsia="zh-CN"/>
        </w:rPr>
        <w:t>2</w:t>
      </w:r>
      <w:r>
        <w:rPr>
          <w:rFonts w:hint="eastAsia" w:cs="Times New Roman"/>
          <w:color w:val="auto"/>
          <w:highlight w:val="none"/>
          <w:lang w:eastAsia="zh-CN"/>
        </w:rPr>
        <w:t>）</w:t>
      </w:r>
      <w:r>
        <w:rPr>
          <w:rFonts w:cs="Times New Roman"/>
          <w:color w:val="auto"/>
          <w:highlight w:val="none"/>
        </w:rPr>
        <w:t>2020年1月1日</w:t>
      </w:r>
      <w:r>
        <w:rPr>
          <w:rFonts w:eastAsia="微软雅黑" w:cs="Times New Roman"/>
          <w:color w:val="auto"/>
          <w:kern w:val="0"/>
          <w:sz w:val="24"/>
          <w:szCs w:val="24"/>
          <w:highlight w:val="none"/>
        </w:rPr>
        <w:t>、</w:t>
      </w:r>
      <w:r>
        <w:rPr>
          <w:rFonts w:cs="Times New Roman"/>
          <w:color w:val="auto"/>
          <w:highlight w:val="none"/>
        </w:rPr>
        <w:t>生态环境部发布的《生活垃圾焚烧污染控制标准》（GB 18485-2014）修改单开始实施，该修改单规定：对本标准已作规定的污染物控制项目，可以制定严于本标准的地方污染物排放标准；对烟气中重金属类污染物的监测应每月至少开展 1 次；对烟气中二噁英类的监测应每年至少开展 1 次。对其他大气污染物排放情况监测的频次、采样时间等要求，应按照有关环境监测管理规定和技术规范的要求执行。</w:t>
      </w:r>
    </w:p>
    <w:p>
      <w:pPr>
        <w:widowControl/>
        <w:shd w:val="clear" w:color="auto" w:fill="FFFFFF"/>
        <w:ind w:firstLine="640"/>
        <w:jc w:val="left"/>
        <w:rPr>
          <w:rFonts w:cs="Times New Roman"/>
          <w:color w:val="auto"/>
          <w:highlight w:val="none"/>
        </w:rPr>
      </w:pPr>
      <w:r>
        <w:rPr>
          <w:rFonts w:hint="eastAsia" w:cs="Times New Roman"/>
          <w:color w:val="auto"/>
          <w:highlight w:val="none"/>
          <w:lang w:eastAsia="zh-CN"/>
        </w:rPr>
        <w:t>（</w:t>
      </w:r>
      <w:r>
        <w:rPr>
          <w:rFonts w:hint="eastAsia" w:cs="Times New Roman"/>
          <w:color w:val="auto"/>
          <w:highlight w:val="none"/>
          <w:lang w:val="en-US" w:eastAsia="zh-CN"/>
        </w:rPr>
        <w:t>3</w:t>
      </w:r>
      <w:r>
        <w:rPr>
          <w:rFonts w:hint="eastAsia" w:cs="Times New Roman"/>
          <w:color w:val="auto"/>
          <w:highlight w:val="none"/>
          <w:lang w:eastAsia="zh-CN"/>
        </w:rPr>
        <w:t>）</w:t>
      </w:r>
      <w:r>
        <w:rPr>
          <w:rFonts w:cs="Times New Roman"/>
          <w:color w:val="auto"/>
          <w:highlight w:val="none"/>
        </w:rPr>
        <w:t>2019年11月21日，《生活垃圾焚烧发电厂自动监测数据应用管理规定》（部令 第10号），</w:t>
      </w:r>
      <w:r>
        <w:rPr>
          <w:rFonts w:cs="Times New Roman"/>
          <w:b/>
          <w:bCs/>
          <w:color w:val="auto"/>
          <w:highlight w:val="none"/>
        </w:rPr>
        <w:t>一是明确了自动监测数据可用于环境执法</w:t>
      </w:r>
      <w:r>
        <w:rPr>
          <w:rFonts w:cs="Times New Roman"/>
          <w:color w:val="auto"/>
          <w:highlight w:val="none"/>
        </w:rPr>
        <w:t>，生态环境主管部门可以使用自动监控系统收集环境违法行为证据，自动监测数据可作为判定垃圾焚烧厂是否存在环境违法行为的证据；</w:t>
      </w:r>
      <w:r>
        <w:rPr>
          <w:rFonts w:cs="Times New Roman"/>
          <w:b/>
          <w:bCs/>
          <w:color w:val="auto"/>
          <w:highlight w:val="none"/>
        </w:rPr>
        <w:t>二是提出了自动监测数据超标判断和处理</w:t>
      </w:r>
      <w:r>
        <w:rPr>
          <w:rFonts w:cs="Times New Roman"/>
          <w:color w:val="auto"/>
          <w:highlight w:val="none"/>
        </w:rPr>
        <w:t>，颗粒物、氮氧化物、二氧化硫、氯化氢、一氧化碳（等5项常规污染物自动监测日均值浓度作为考核指标；以《生活垃圾焚烧污染控制标准》（GB 18485）或地方污染物排放标准规定的相应污染物的24小时均值限值或日均值限值作为超标判断标准；</w:t>
      </w:r>
      <w:r>
        <w:rPr>
          <w:rFonts w:cs="Times New Roman"/>
          <w:b/>
          <w:bCs/>
          <w:color w:val="auto"/>
          <w:highlight w:val="none"/>
        </w:rPr>
        <w:t>三是确定了焚烧炉炉温不达标的判定和处理，</w:t>
      </w:r>
      <w:r>
        <w:rPr>
          <w:rFonts w:cs="Times New Roman"/>
          <w:color w:val="auto"/>
          <w:highlight w:val="none"/>
        </w:rPr>
        <w:t>《管理规定》采用焚烧炉炉膛内热电偶测量温度的5分钟均值达到850℃作为炉膛温度的判定标准。</w:t>
      </w:r>
    </w:p>
    <w:p>
      <w:pPr>
        <w:widowControl/>
        <w:shd w:val="clear" w:color="auto" w:fill="FFFFFF"/>
        <w:ind w:firstLine="640"/>
        <w:jc w:val="left"/>
        <w:rPr>
          <w:rFonts w:cs="Times New Roman"/>
          <w:color w:val="auto"/>
          <w:highlight w:val="none"/>
        </w:rPr>
      </w:pPr>
      <w:r>
        <w:rPr>
          <w:rFonts w:cs="Times New Roman"/>
          <w:color w:val="auto"/>
          <w:highlight w:val="none"/>
        </w:rPr>
        <w:t>为督促垃圾焚烧厂减少有害物质排放，同时考虑到我国生活垃圾的实际情况及焚烧状况，《管理规定》提出对于1个自然日内炉膛温度5分钟均值不达标次数累计超过5次的，将予以处罚；1个月内5项常规污染物日均值超标天数累计5天以上的，在予以处罚的同时，还应责令限制生产或者停产整治。</w:t>
      </w:r>
    </w:p>
    <w:p>
      <w:pPr>
        <w:pStyle w:val="4"/>
        <w:spacing w:before="156" w:after="156"/>
        <w:ind w:left="0" w:leftChars="0" w:firstLine="0" w:firstLineChars="0"/>
        <w:rPr>
          <w:rFonts w:ascii="Times New Roman" w:hAnsi="Times New Roman" w:eastAsia="仿宋_GB2312" w:cs="Times New Roman"/>
          <w:b/>
          <w:bCs/>
          <w:color w:val="auto"/>
          <w:szCs w:val="22"/>
          <w:highlight w:val="none"/>
          <w:lang w:val="zh-CN"/>
        </w:rPr>
      </w:pPr>
      <w:bookmarkStart w:id="62" w:name="_Toc30795"/>
      <w:r>
        <w:rPr>
          <w:rFonts w:ascii="Times New Roman" w:hAnsi="Times New Roman" w:eastAsia="仿宋_GB2312" w:cs="Times New Roman"/>
          <w:b/>
          <w:bCs/>
          <w:color w:val="auto"/>
          <w:szCs w:val="22"/>
          <w:highlight w:val="none"/>
          <w:lang w:val="zh-CN"/>
        </w:rPr>
        <w:t>4.3.2 河南管理要求</w:t>
      </w:r>
      <w:bookmarkEnd w:id="62"/>
    </w:p>
    <w:p>
      <w:pPr>
        <w:ind w:firstLine="640"/>
        <w:rPr>
          <w:rFonts w:cs="Times New Roman"/>
          <w:color w:val="auto"/>
          <w:highlight w:val="none"/>
        </w:rPr>
      </w:pPr>
      <w:r>
        <w:rPr>
          <w:rFonts w:hint="eastAsia" w:cs="Times New Roman"/>
          <w:b w:val="0"/>
          <w:bCs w:val="0"/>
          <w:color w:val="auto"/>
          <w:highlight w:val="none"/>
          <w:lang w:eastAsia="zh-CN"/>
        </w:rPr>
        <w:t>（</w:t>
      </w:r>
      <w:r>
        <w:rPr>
          <w:rFonts w:hint="eastAsia" w:cs="Times New Roman"/>
          <w:b w:val="0"/>
          <w:bCs w:val="0"/>
          <w:color w:val="auto"/>
          <w:highlight w:val="none"/>
          <w:lang w:val="en-US" w:eastAsia="zh-CN"/>
        </w:rPr>
        <w:t>1</w:t>
      </w:r>
      <w:r>
        <w:rPr>
          <w:rFonts w:hint="eastAsia" w:cs="Times New Roman"/>
          <w:b w:val="0"/>
          <w:bCs w:val="0"/>
          <w:color w:val="auto"/>
          <w:highlight w:val="none"/>
          <w:lang w:eastAsia="zh-CN"/>
        </w:rPr>
        <w:t>）</w:t>
      </w:r>
      <w:r>
        <w:rPr>
          <w:rFonts w:cs="Times New Roman"/>
          <w:b w:val="0"/>
          <w:bCs w:val="0"/>
          <w:color w:val="auto"/>
          <w:highlight w:val="none"/>
        </w:rPr>
        <w:t>污染防治攻坚。</w:t>
      </w:r>
      <w:r>
        <w:rPr>
          <w:rFonts w:cs="Times New Roman"/>
          <w:color w:val="auto"/>
          <w:highlight w:val="none"/>
        </w:rPr>
        <w:t>《河南省2020年大气污染防治攻坚战实施方案》要求：开展生活垃圾焚烧行业提标治理。2020年底前，垃圾焚烧发电企业全面完成提标治理，焚烧炉烟气颗粒物、二氧化硫、氮氧化物排放浓度（1小时均值）在基准氧含量11%的条件下分别不高于10、35、100mg/m</w:t>
      </w:r>
      <w:r>
        <w:rPr>
          <w:rFonts w:cs="Times New Roman"/>
          <w:color w:val="auto"/>
          <w:highlight w:val="none"/>
          <w:vertAlign w:val="superscript"/>
        </w:rPr>
        <w:t>3</w:t>
      </w:r>
      <w:r>
        <w:rPr>
          <w:rFonts w:cs="Times New Roman"/>
          <w:color w:val="auto"/>
          <w:highlight w:val="none"/>
        </w:rPr>
        <w:t>，采用氨法脱硝、氨法脱硫工艺的垃圾焚烧废气氨逃逸浓度不高于8毫克/立方米；《河南省2021年大气污染防治攻坚战实施方案》又明确要求：推进垃圾焚烧发电企业全面完成提标治理，焚烧炉烟气颗粒物、二氧化硫、氮氧化物排放浓度（1小时均值）在基准氧含量11%的条件下分别不高于10、35、100mg/m</w:t>
      </w:r>
      <w:r>
        <w:rPr>
          <w:rFonts w:cs="Times New Roman"/>
          <w:color w:val="auto"/>
          <w:highlight w:val="none"/>
          <w:vertAlign w:val="superscript"/>
        </w:rPr>
        <w:t>3</w:t>
      </w:r>
      <w:r>
        <w:rPr>
          <w:rFonts w:cs="Times New Roman"/>
          <w:color w:val="auto"/>
          <w:highlight w:val="none"/>
        </w:rPr>
        <w:t>，采用氨法脱硝、氨法脱硫工艺的垃圾焚烧废气氨排放浓度不高于8mg/m</w:t>
      </w:r>
      <w:r>
        <w:rPr>
          <w:rFonts w:cs="Times New Roman"/>
          <w:color w:val="auto"/>
          <w:highlight w:val="none"/>
          <w:vertAlign w:val="superscript"/>
        </w:rPr>
        <w:t>3</w:t>
      </w:r>
      <w:r>
        <w:rPr>
          <w:rFonts w:cs="Times New Roman"/>
          <w:color w:val="auto"/>
          <w:highlight w:val="none"/>
        </w:rPr>
        <w:t>。</w:t>
      </w:r>
    </w:p>
    <w:p>
      <w:pPr>
        <w:ind w:firstLine="640"/>
        <w:rPr>
          <w:rFonts w:cs="Times New Roman"/>
          <w:color w:val="auto"/>
          <w:highlight w:val="none"/>
        </w:rPr>
      </w:pPr>
      <w:r>
        <w:rPr>
          <w:rFonts w:hint="eastAsia" w:cs="Times New Roman"/>
          <w:b w:val="0"/>
          <w:bCs w:val="0"/>
          <w:color w:val="auto"/>
          <w:highlight w:val="none"/>
          <w:lang w:eastAsia="zh-CN"/>
        </w:rPr>
        <w:t>（</w:t>
      </w:r>
      <w:r>
        <w:rPr>
          <w:rFonts w:hint="eastAsia" w:cs="Times New Roman"/>
          <w:b w:val="0"/>
          <w:bCs w:val="0"/>
          <w:color w:val="auto"/>
          <w:highlight w:val="none"/>
          <w:lang w:val="en-US" w:eastAsia="zh-CN"/>
        </w:rPr>
        <w:t>2</w:t>
      </w:r>
      <w:r>
        <w:rPr>
          <w:rFonts w:hint="eastAsia" w:cs="Times New Roman"/>
          <w:b w:val="0"/>
          <w:bCs w:val="0"/>
          <w:color w:val="auto"/>
          <w:highlight w:val="none"/>
          <w:lang w:eastAsia="zh-CN"/>
        </w:rPr>
        <w:t>）</w:t>
      </w:r>
      <w:r>
        <w:rPr>
          <w:rFonts w:cs="Times New Roman"/>
          <w:b w:val="0"/>
          <w:bCs w:val="0"/>
          <w:color w:val="auto"/>
          <w:highlight w:val="none"/>
        </w:rPr>
        <w:t>在线监控。</w:t>
      </w:r>
      <w:r>
        <w:rPr>
          <w:rFonts w:cs="Times New Roman"/>
          <w:color w:val="auto"/>
          <w:highlight w:val="none"/>
        </w:rPr>
        <w:t>河南省持续推动生活垃圾焚烧企业安装污染源自动监控设施并与生态环境部门联网。按照《生活垃圾焚烧发电厂自动监测数据应用管理规定》（生态环境部10号令）要求，设区的市级以上地方生态环境主管部门应当将垃圾焚烧厂列入重点排污单位名录。垃圾焚烧厂应当按照有关法律法规和标准规范安装使用自动监测设备，与生态环境主管部门的监控设备联网。　</w:t>
      </w:r>
    </w:p>
    <w:p>
      <w:pPr>
        <w:ind w:firstLine="640"/>
        <w:rPr>
          <w:rFonts w:cs="Times New Roman"/>
          <w:color w:val="auto"/>
          <w:highlight w:val="none"/>
        </w:rPr>
      </w:pPr>
      <w:r>
        <w:rPr>
          <w:rFonts w:cs="Times New Roman"/>
          <w:color w:val="auto"/>
          <w:highlight w:val="none"/>
        </w:rPr>
        <w:t>截至2021年底，</w:t>
      </w:r>
      <w:bookmarkStart w:id="63" w:name="_Hlk120533938"/>
      <w:r>
        <w:rPr>
          <w:rFonts w:cs="Times New Roman"/>
          <w:color w:val="auto"/>
          <w:highlight w:val="none"/>
        </w:rPr>
        <w:t>我省共有41家企业安装污染源自动监控设施并于</w:t>
      </w:r>
      <w:bookmarkStart w:id="64" w:name="_Hlk120533984"/>
      <w:r>
        <w:rPr>
          <w:rFonts w:cs="Times New Roman"/>
          <w:color w:val="auto"/>
          <w:highlight w:val="none"/>
        </w:rPr>
        <w:t>生态环境</w:t>
      </w:r>
      <w:bookmarkEnd w:id="64"/>
      <w:r>
        <w:rPr>
          <w:rFonts w:cs="Times New Roman"/>
          <w:color w:val="auto"/>
          <w:highlight w:val="none"/>
        </w:rPr>
        <w:t>部门联网</w:t>
      </w:r>
      <w:bookmarkEnd w:id="63"/>
      <w:r>
        <w:rPr>
          <w:rFonts w:cs="Times New Roman"/>
          <w:color w:val="auto"/>
          <w:highlight w:val="none"/>
        </w:rPr>
        <w:t>；</w:t>
      </w:r>
      <w:bookmarkStart w:id="65" w:name="_Hlk120534008"/>
      <w:r>
        <w:rPr>
          <w:rFonts w:cs="Times New Roman"/>
          <w:color w:val="auto"/>
          <w:highlight w:val="none"/>
        </w:rPr>
        <w:t>截止2022年6月底，我省共有52家企业安装污染源自动监控设施并于生态环境部门联网</w:t>
      </w:r>
      <w:bookmarkEnd w:id="65"/>
      <w:r>
        <w:rPr>
          <w:rFonts w:cs="Times New Roman"/>
          <w:color w:val="auto"/>
          <w:highlight w:val="none"/>
        </w:rPr>
        <w:t>；截止2022年11月28日，我省共有61家企业安装污染源自动监控设施并于生态环境部门联网。</w:t>
      </w:r>
    </w:p>
    <w:p>
      <w:pPr>
        <w:ind w:firstLine="640"/>
        <w:rPr>
          <w:rFonts w:cs="Times New Roman"/>
          <w:color w:val="auto"/>
          <w:highlight w:val="none"/>
        </w:rPr>
      </w:pPr>
      <w:r>
        <w:rPr>
          <w:rFonts w:hint="eastAsia" w:cs="Times New Roman"/>
          <w:b w:val="0"/>
          <w:bCs w:val="0"/>
          <w:color w:val="auto"/>
          <w:highlight w:val="none"/>
          <w:lang w:eastAsia="zh-CN"/>
        </w:rPr>
        <w:t>（</w:t>
      </w:r>
      <w:r>
        <w:rPr>
          <w:rFonts w:hint="eastAsia" w:cs="Times New Roman"/>
          <w:b w:val="0"/>
          <w:bCs w:val="0"/>
          <w:color w:val="auto"/>
          <w:highlight w:val="none"/>
          <w:lang w:val="en-US" w:eastAsia="zh-CN"/>
        </w:rPr>
        <w:t>3</w:t>
      </w:r>
      <w:r>
        <w:rPr>
          <w:rFonts w:hint="eastAsia" w:cs="Times New Roman"/>
          <w:b w:val="0"/>
          <w:bCs w:val="0"/>
          <w:color w:val="auto"/>
          <w:highlight w:val="none"/>
          <w:lang w:eastAsia="zh-CN"/>
        </w:rPr>
        <w:t>）</w:t>
      </w:r>
      <w:r>
        <w:rPr>
          <w:rFonts w:cs="Times New Roman"/>
          <w:b w:val="0"/>
          <w:bCs w:val="0"/>
          <w:color w:val="auto"/>
          <w:highlight w:val="none"/>
        </w:rPr>
        <w:t>排污许可证核发。</w:t>
      </w:r>
      <w:r>
        <w:rPr>
          <w:rFonts w:cs="Times New Roman"/>
          <w:color w:val="auto"/>
          <w:highlight w:val="none"/>
        </w:rPr>
        <w:t>河南省已按照《排污许可证申请与核发技术规范 生活垃圾焚烧》（HJ 1039—2019）对全省已建成投运的64家生活垃圾焚烧企业发放排污许可证。</w:t>
      </w:r>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66" w:name="_Toc28330"/>
      <w:r>
        <w:rPr>
          <w:rFonts w:ascii="Times New Roman" w:hAnsi="Times New Roman" w:eastAsia="仿宋_GB2312" w:cs="Times New Roman"/>
          <w:b/>
          <w:bCs/>
          <w:color w:val="auto"/>
          <w:szCs w:val="22"/>
          <w:highlight w:val="none"/>
        </w:rPr>
        <w:t>4.4废气污染物排放情况</w:t>
      </w:r>
      <w:bookmarkEnd w:id="66"/>
    </w:p>
    <w:p>
      <w:pPr>
        <w:pStyle w:val="4"/>
        <w:spacing w:before="156" w:after="156"/>
        <w:ind w:left="0" w:leftChars="0" w:firstLine="0" w:firstLineChars="0"/>
        <w:rPr>
          <w:rFonts w:ascii="Times New Roman" w:hAnsi="Times New Roman" w:eastAsia="仿宋_GB2312" w:cs="Times New Roman"/>
          <w:b/>
          <w:bCs/>
          <w:color w:val="auto"/>
          <w:szCs w:val="22"/>
          <w:highlight w:val="none"/>
          <w:lang w:val="zh-CN"/>
        </w:rPr>
      </w:pPr>
      <w:bookmarkStart w:id="67" w:name="_Toc6299"/>
      <w:bookmarkStart w:id="68" w:name="_Toc24638"/>
      <w:bookmarkStart w:id="69" w:name="_Toc13315"/>
      <w:r>
        <w:rPr>
          <w:rFonts w:ascii="Times New Roman" w:hAnsi="Times New Roman" w:eastAsia="仿宋_GB2312" w:cs="Times New Roman"/>
          <w:b/>
          <w:bCs/>
          <w:color w:val="auto"/>
          <w:szCs w:val="22"/>
          <w:highlight w:val="none"/>
          <w:lang w:val="zh-CN"/>
        </w:rPr>
        <w:t>4.4.1废气污染物排放量</w:t>
      </w:r>
      <w:bookmarkEnd w:id="67"/>
      <w:bookmarkEnd w:id="68"/>
      <w:bookmarkEnd w:id="69"/>
    </w:p>
    <w:p>
      <w:pPr>
        <w:ind w:firstLine="640"/>
        <w:rPr>
          <w:rFonts w:cs="Times New Roman"/>
          <w:color w:val="auto"/>
          <w:highlight w:val="none"/>
        </w:rPr>
      </w:pPr>
      <w:r>
        <w:rPr>
          <w:rFonts w:cs="Times New Roman"/>
          <w:color w:val="auto"/>
          <w:highlight w:val="none"/>
        </w:rPr>
        <w:t>河南省2019、2020、2021、2022年上半年生活垃圾焚烧企业在线监控数据二氧化硫、氮氧化物、颗粒物排放总量生活垃圾焚烧企业排放量呈逐年上升趋势。</w:t>
      </w:r>
      <w:r>
        <w:rPr>
          <w:rFonts w:cs="Times New Roman"/>
          <w:color w:val="auto"/>
          <w:szCs w:val="32"/>
          <w:highlight w:val="none"/>
        </w:rPr>
        <w:t>2019年、2020</w:t>
      </w:r>
      <w:r>
        <w:rPr>
          <w:rFonts w:hint="eastAsia" w:cs="Times New Roman"/>
          <w:color w:val="auto"/>
          <w:szCs w:val="32"/>
          <w:highlight w:val="none"/>
          <w:lang w:val="en-US" w:eastAsia="zh-CN"/>
        </w:rPr>
        <w:t>年</w:t>
      </w:r>
      <w:r>
        <w:rPr>
          <w:rFonts w:cs="Times New Roman"/>
          <w:color w:val="auto"/>
          <w:szCs w:val="32"/>
          <w:highlight w:val="none"/>
        </w:rPr>
        <w:t>、2021年，全省生活垃圾焚烧企业在线监控数据</w:t>
      </w:r>
      <w:r>
        <w:rPr>
          <w:rFonts w:hint="eastAsia" w:cs="Times New Roman"/>
          <w:color w:val="auto"/>
          <w:szCs w:val="32"/>
          <w:highlight w:val="none"/>
          <w:lang w:val="en-US" w:eastAsia="zh-CN"/>
        </w:rPr>
        <w:t>废气污染物（</w:t>
      </w:r>
      <w:r>
        <w:rPr>
          <w:rFonts w:cs="Times New Roman"/>
          <w:color w:val="auto"/>
          <w:szCs w:val="32"/>
          <w:highlight w:val="none"/>
        </w:rPr>
        <w:t>颗粒物、二氧化硫、氮氧化物</w:t>
      </w:r>
      <w:r>
        <w:rPr>
          <w:rFonts w:hint="eastAsia" w:cs="Times New Roman"/>
          <w:color w:val="auto"/>
          <w:szCs w:val="32"/>
          <w:highlight w:val="none"/>
          <w:lang w:val="en-US" w:eastAsia="zh-CN"/>
        </w:rPr>
        <w:t>之和，下同</w:t>
      </w:r>
      <w:r>
        <w:rPr>
          <w:rFonts w:hint="eastAsia" w:cs="Times New Roman"/>
          <w:color w:val="auto"/>
          <w:szCs w:val="32"/>
          <w:highlight w:val="none"/>
          <w:lang w:eastAsia="zh-CN"/>
        </w:rPr>
        <w:t>）</w:t>
      </w:r>
      <w:r>
        <w:rPr>
          <w:rFonts w:cs="Times New Roman"/>
          <w:color w:val="auto"/>
          <w:szCs w:val="32"/>
          <w:highlight w:val="none"/>
        </w:rPr>
        <w:t>排放总量分别为2025吨、4211吨、6325吨，占全省同期污染物排放总量的比率分别为1.7%、3.6%和5.3%；2022年1~6月排放量为4247吨，占全省同期废气污染物排放总量的7.2%。</w:t>
      </w:r>
    </w:p>
    <w:p>
      <w:pPr>
        <w:ind w:firstLine="640"/>
        <w:rPr>
          <w:rFonts w:cs="Times New Roman"/>
          <w:color w:val="auto"/>
          <w:highlight w:val="none"/>
        </w:rPr>
      </w:pPr>
      <w:r>
        <w:rPr>
          <w:rFonts w:hint="eastAsia" w:cs="Times New Roman"/>
          <w:color w:val="auto"/>
          <w:highlight w:val="none"/>
          <w:lang w:val="en-US" w:eastAsia="zh-CN"/>
        </w:rPr>
        <w:t>根据</w:t>
      </w:r>
      <w:r>
        <w:rPr>
          <w:rFonts w:cs="Times New Roman"/>
          <w:color w:val="auto"/>
          <w:highlight w:val="none"/>
        </w:rPr>
        <w:t>2021</w:t>
      </w:r>
      <w:bookmarkStart w:id="70" w:name="_Hlk120527044"/>
      <w:r>
        <w:rPr>
          <w:rFonts w:cs="Times New Roman"/>
          <w:color w:val="auto"/>
          <w:highlight w:val="none"/>
        </w:rPr>
        <w:t>年</w:t>
      </w:r>
      <w:bookmarkEnd w:id="70"/>
      <w:r>
        <w:rPr>
          <w:rFonts w:hint="eastAsia" w:cs="Times New Roman"/>
          <w:color w:val="auto"/>
          <w:highlight w:val="none"/>
          <w:lang w:val="en-US" w:eastAsia="zh-CN"/>
        </w:rPr>
        <w:t>在线监控数据，</w:t>
      </w:r>
      <w:r>
        <w:rPr>
          <w:rFonts w:cs="Times New Roman"/>
          <w:color w:val="auto"/>
          <w:highlight w:val="none"/>
        </w:rPr>
        <w:t>颗粒物</w:t>
      </w:r>
      <w:r>
        <w:rPr>
          <w:rFonts w:hint="eastAsia" w:cs="Times New Roman"/>
          <w:color w:val="auto"/>
          <w:highlight w:val="none"/>
          <w:lang w:eastAsia="zh-CN"/>
        </w:rPr>
        <w:t>、</w:t>
      </w:r>
      <w:r>
        <w:rPr>
          <w:rFonts w:cs="Times New Roman"/>
          <w:color w:val="auto"/>
          <w:highlight w:val="none"/>
        </w:rPr>
        <w:t>二氧化硫、氮氧化物排放量分别为118吨、923吨、5283吨，占全省排放量的比率分别为1.5%、2.6%、7.0%。2022年1</w:t>
      </w:r>
      <w:r>
        <w:rPr>
          <w:rFonts w:hint="eastAsia" w:cs="Times New Roman"/>
          <w:color w:val="auto"/>
          <w:highlight w:val="none"/>
          <w:lang w:val="en-US" w:eastAsia="zh-CN"/>
        </w:rPr>
        <w:t>~</w:t>
      </w:r>
      <w:r>
        <w:rPr>
          <w:rFonts w:cs="Times New Roman"/>
          <w:color w:val="auto"/>
          <w:highlight w:val="none"/>
        </w:rPr>
        <w:t>6月，</w:t>
      </w:r>
      <w:r>
        <w:rPr>
          <w:rFonts w:hint="eastAsia" w:cs="Times New Roman"/>
          <w:color w:val="auto"/>
          <w:highlight w:val="none"/>
          <w:lang w:val="en-US" w:eastAsia="zh-CN"/>
        </w:rPr>
        <w:t>颗粒物、</w:t>
      </w:r>
      <w:r>
        <w:rPr>
          <w:rFonts w:cs="Times New Roman"/>
          <w:color w:val="auto"/>
          <w:highlight w:val="none"/>
        </w:rPr>
        <w:t>二氧化硫、氮氧化物排放量分别为80.6吨、722.9吨、3443.2吨。</w:t>
      </w:r>
    </w:p>
    <w:p>
      <w:pPr>
        <w:pStyle w:val="4"/>
        <w:spacing w:before="156" w:after="156"/>
        <w:ind w:left="0" w:leftChars="0" w:firstLine="0" w:firstLineChars="0"/>
        <w:rPr>
          <w:rFonts w:ascii="Times New Roman" w:hAnsi="Times New Roman" w:eastAsia="仿宋_GB2312" w:cs="Times New Roman"/>
          <w:b/>
          <w:bCs/>
          <w:color w:val="auto"/>
          <w:szCs w:val="22"/>
          <w:highlight w:val="none"/>
          <w:lang w:val="zh-CN"/>
        </w:rPr>
      </w:pPr>
      <w:bookmarkStart w:id="71" w:name="_Toc30601"/>
      <w:bookmarkStart w:id="72" w:name="_Toc26596"/>
      <w:bookmarkStart w:id="73" w:name="_Toc27912"/>
      <w:r>
        <w:rPr>
          <w:rFonts w:ascii="Times New Roman" w:hAnsi="Times New Roman" w:eastAsia="仿宋_GB2312" w:cs="Times New Roman"/>
          <w:b/>
          <w:bCs/>
          <w:color w:val="auto"/>
          <w:szCs w:val="22"/>
          <w:highlight w:val="none"/>
          <w:lang w:val="zh-CN"/>
        </w:rPr>
        <w:t>4.4.2废气污染物排放浓度</w:t>
      </w:r>
      <w:bookmarkEnd w:id="71"/>
      <w:bookmarkEnd w:id="72"/>
      <w:bookmarkEnd w:id="73"/>
    </w:p>
    <w:p>
      <w:pPr>
        <w:ind w:firstLine="640"/>
        <w:rPr>
          <w:rFonts w:cs="Times New Roman"/>
          <w:color w:val="auto"/>
          <w:highlight w:val="none"/>
        </w:rPr>
      </w:pPr>
      <w:r>
        <w:rPr>
          <w:rFonts w:cs="Times New Roman"/>
          <w:color w:val="auto"/>
          <w:highlight w:val="none"/>
        </w:rPr>
        <w:t>（1）在线监测数据</w:t>
      </w:r>
    </w:p>
    <w:p>
      <w:pPr>
        <w:spacing w:line="360" w:lineRule="auto"/>
        <w:ind w:firstLine="640"/>
        <w:rPr>
          <w:rFonts w:cs="Times New Roman"/>
          <w:color w:val="auto"/>
          <w:szCs w:val="32"/>
          <w:highlight w:val="none"/>
        </w:rPr>
      </w:pPr>
      <w:r>
        <w:rPr>
          <w:rFonts w:cs="Times New Roman"/>
          <w:color w:val="auto"/>
          <w:szCs w:val="32"/>
          <w:highlight w:val="none"/>
        </w:rPr>
        <w:t>根据河南省2021年安装在线监控设备的41家生活垃圾焚烧企业在线监控数据，颗粒物、二氧化硫、氮氧化物、氨、氯化氢、一氧化碳小时平均排放浓度分别为3.0mg/m</w:t>
      </w:r>
      <w:r>
        <w:rPr>
          <w:rFonts w:cs="Times New Roman"/>
          <w:color w:val="auto"/>
          <w:szCs w:val="32"/>
          <w:highlight w:val="none"/>
          <w:vertAlign w:val="superscript"/>
        </w:rPr>
        <w:t>3</w:t>
      </w:r>
      <w:r>
        <w:rPr>
          <w:rFonts w:cs="Times New Roman"/>
          <w:color w:val="auto"/>
          <w:szCs w:val="32"/>
          <w:highlight w:val="none"/>
        </w:rPr>
        <w:t>、21.4mg/m</w:t>
      </w:r>
      <w:r>
        <w:rPr>
          <w:rFonts w:cs="Times New Roman"/>
          <w:color w:val="auto"/>
          <w:szCs w:val="32"/>
          <w:highlight w:val="none"/>
          <w:vertAlign w:val="superscript"/>
        </w:rPr>
        <w:t>3</w:t>
      </w:r>
      <w:r>
        <w:rPr>
          <w:rFonts w:cs="Times New Roman"/>
          <w:color w:val="auto"/>
          <w:szCs w:val="32"/>
          <w:highlight w:val="none"/>
        </w:rPr>
        <w:t>、114.5mg/m</w:t>
      </w:r>
      <w:r>
        <w:rPr>
          <w:rFonts w:cs="Times New Roman"/>
          <w:color w:val="auto"/>
          <w:szCs w:val="32"/>
          <w:highlight w:val="none"/>
          <w:vertAlign w:val="superscript"/>
        </w:rPr>
        <w:t>3</w:t>
      </w:r>
      <w:r>
        <w:rPr>
          <w:rFonts w:cs="Times New Roman"/>
          <w:color w:val="auto"/>
          <w:szCs w:val="32"/>
          <w:highlight w:val="none"/>
        </w:rPr>
        <w:t>、7.</w:t>
      </w:r>
      <w:bookmarkStart w:id="74" w:name="_Hlk120517523"/>
      <w:r>
        <w:rPr>
          <w:rFonts w:cs="Times New Roman"/>
          <w:color w:val="auto"/>
          <w:szCs w:val="32"/>
          <w:highlight w:val="none"/>
        </w:rPr>
        <w:t>5mg/m</w:t>
      </w:r>
      <w:r>
        <w:rPr>
          <w:rFonts w:cs="Times New Roman"/>
          <w:color w:val="auto"/>
          <w:szCs w:val="32"/>
          <w:highlight w:val="none"/>
          <w:vertAlign w:val="superscript"/>
        </w:rPr>
        <w:t>3</w:t>
      </w:r>
      <w:bookmarkEnd w:id="74"/>
      <w:r>
        <w:rPr>
          <w:rFonts w:cs="Times New Roman"/>
          <w:color w:val="auto"/>
          <w:szCs w:val="32"/>
          <w:highlight w:val="none"/>
        </w:rPr>
        <w:t>、11.1mg/m</w:t>
      </w:r>
      <w:r>
        <w:rPr>
          <w:rFonts w:cs="Times New Roman"/>
          <w:color w:val="auto"/>
          <w:szCs w:val="32"/>
          <w:highlight w:val="none"/>
          <w:vertAlign w:val="superscript"/>
        </w:rPr>
        <w:t>3</w:t>
      </w:r>
      <w:r>
        <w:rPr>
          <w:rFonts w:cs="Times New Roman"/>
          <w:color w:val="auto"/>
          <w:szCs w:val="32"/>
          <w:highlight w:val="none"/>
        </w:rPr>
        <w:t>、17.4mg/m</w:t>
      </w:r>
      <w:r>
        <w:rPr>
          <w:rFonts w:cs="Times New Roman"/>
          <w:color w:val="auto"/>
          <w:szCs w:val="32"/>
          <w:highlight w:val="none"/>
          <w:vertAlign w:val="superscript"/>
        </w:rPr>
        <w:t>3</w:t>
      </w:r>
      <w:r>
        <w:rPr>
          <w:rFonts w:cs="Times New Roman"/>
          <w:color w:val="auto"/>
          <w:szCs w:val="32"/>
          <w:highlight w:val="none"/>
        </w:rPr>
        <w:t>，日平均排放浓度分别为2.9mg/m</w:t>
      </w:r>
      <w:r>
        <w:rPr>
          <w:rFonts w:cs="Times New Roman"/>
          <w:color w:val="auto"/>
          <w:szCs w:val="32"/>
          <w:highlight w:val="none"/>
          <w:vertAlign w:val="superscript"/>
        </w:rPr>
        <w:t>3</w:t>
      </w:r>
      <w:r>
        <w:rPr>
          <w:rFonts w:cs="Times New Roman"/>
          <w:color w:val="auto"/>
          <w:szCs w:val="32"/>
          <w:highlight w:val="none"/>
        </w:rPr>
        <w:t>、20.9mg/m</w:t>
      </w:r>
      <w:r>
        <w:rPr>
          <w:rFonts w:cs="Times New Roman"/>
          <w:color w:val="auto"/>
          <w:szCs w:val="32"/>
          <w:highlight w:val="none"/>
          <w:vertAlign w:val="superscript"/>
        </w:rPr>
        <w:t>3</w:t>
      </w:r>
      <w:r>
        <w:rPr>
          <w:rFonts w:cs="Times New Roman"/>
          <w:color w:val="auto"/>
          <w:szCs w:val="32"/>
          <w:highlight w:val="none"/>
        </w:rPr>
        <w:t>、112.1mg/m</w:t>
      </w:r>
      <w:r>
        <w:rPr>
          <w:rFonts w:cs="Times New Roman"/>
          <w:color w:val="auto"/>
          <w:szCs w:val="32"/>
          <w:highlight w:val="none"/>
          <w:vertAlign w:val="superscript"/>
        </w:rPr>
        <w:t>3</w:t>
      </w:r>
      <w:r>
        <w:rPr>
          <w:rFonts w:cs="Times New Roman"/>
          <w:color w:val="auto"/>
          <w:szCs w:val="32"/>
          <w:highlight w:val="none"/>
        </w:rPr>
        <w:t>、7.39mg/m</w:t>
      </w:r>
      <w:r>
        <w:rPr>
          <w:rFonts w:cs="Times New Roman"/>
          <w:color w:val="auto"/>
          <w:szCs w:val="32"/>
          <w:highlight w:val="none"/>
          <w:vertAlign w:val="superscript"/>
        </w:rPr>
        <w:t>3</w:t>
      </w:r>
      <w:r>
        <w:rPr>
          <w:rFonts w:cs="Times New Roman"/>
          <w:color w:val="auto"/>
          <w:szCs w:val="32"/>
          <w:highlight w:val="none"/>
        </w:rPr>
        <w:t>、14.4mg/m</w:t>
      </w:r>
      <w:r>
        <w:rPr>
          <w:rFonts w:cs="Times New Roman"/>
          <w:color w:val="auto"/>
          <w:szCs w:val="32"/>
          <w:highlight w:val="none"/>
          <w:vertAlign w:val="superscript"/>
        </w:rPr>
        <w:t>3</w:t>
      </w:r>
      <w:r>
        <w:rPr>
          <w:rFonts w:cs="Times New Roman"/>
          <w:color w:val="auto"/>
          <w:szCs w:val="32"/>
          <w:highlight w:val="none"/>
        </w:rPr>
        <w:t>、10.6mg/m</w:t>
      </w:r>
      <w:r>
        <w:rPr>
          <w:rFonts w:cs="Times New Roman"/>
          <w:color w:val="auto"/>
          <w:szCs w:val="32"/>
          <w:highlight w:val="none"/>
          <w:vertAlign w:val="superscript"/>
        </w:rPr>
        <w:t>3</w:t>
      </w:r>
      <w:r>
        <w:rPr>
          <w:rFonts w:cs="Times New Roman"/>
          <w:color w:val="auto"/>
          <w:szCs w:val="32"/>
          <w:highlight w:val="none"/>
        </w:rPr>
        <w:t>。</w:t>
      </w:r>
    </w:p>
    <w:p>
      <w:pPr>
        <w:spacing w:line="360" w:lineRule="auto"/>
        <w:ind w:firstLine="640"/>
        <w:rPr>
          <w:rFonts w:cs="Times New Roman"/>
          <w:color w:val="auto"/>
          <w:szCs w:val="32"/>
          <w:highlight w:val="none"/>
        </w:rPr>
      </w:pPr>
      <w:r>
        <w:rPr>
          <w:rFonts w:cs="Times New Roman"/>
          <w:color w:val="auto"/>
          <w:szCs w:val="32"/>
          <w:highlight w:val="none"/>
        </w:rPr>
        <w:t>颗粒物、二氧化硫、氮氧化物、氯化氢、一氧化碳均能满足《生活垃圾焚烧污染控制标准》（GB 18485-2014）标准要求。</w:t>
      </w:r>
    </w:p>
    <w:p>
      <w:pPr>
        <w:ind w:firstLine="640"/>
        <w:rPr>
          <w:rFonts w:cs="Times New Roman"/>
          <w:color w:val="auto"/>
          <w:szCs w:val="32"/>
          <w:highlight w:val="none"/>
        </w:rPr>
      </w:pPr>
      <w:r>
        <w:rPr>
          <w:rFonts w:cs="Times New Roman"/>
          <w:color w:val="auto"/>
          <w:szCs w:val="32"/>
          <w:highlight w:val="none"/>
        </w:rPr>
        <w:t>颗粒物、二氧化硫、氨能满足河南省2020、2021年大气污染防治攻坚方案提出的颗粒物小于10mg/m</w:t>
      </w:r>
      <w:r>
        <w:rPr>
          <w:rFonts w:cs="Times New Roman"/>
          <w:color w:val="auto"/>
          <w:szCs w:val="32"/>
          <w:highlight w:val="none"/>
          <w:vertAlign w:val="superscript"/>
        </w:rPr>
        <w:t>3</w:t>
      </w:r>
      <w:r>
        <w:rPr>
          <w:rFonts w:cs="Times New Roman"/>
          <w:color w:val="auto"/>
          <w:szCs w:val="32"/>
          <w:highlight w:val="none"/>
        </w:rPr>
        <w:t>、二氧化硫小于35mg/m</w:t>
      </w:r>
      <w:r>
        <w:rPr>
          <w:rFonts w:cs="Times New Roman"/>
          <w:color w:val="auto"/>
          <w:szCs w:val="32"/>
          <w:highlight w:val="none"/>
          <w:vertAlign w:val="superscript"/>
        </w:rPr>
        <w:t>3</w:t>
      </w:r>
      <w:r>
        <w:rPr>
          <w:rFonts w:cs="Times New Roman"/>
          <w:color w:val="auto"/>
          <w:szCs w:val="32"/>
          <w:highlight w:val="none"/>
        </w:rPr>
        <w:t>、氨小于8mg/m</w:t>
      </w:r>
      <w:r>
        <w:rPr>
          <w:rFonts w:cs="Times New Roman"/>
          <w:color w:val="auto"/>
          <w:szCs w:val="32"/>
          <w:highlight w:val="none"/>
          <w:vertAlign w:val="superscript"/>
        </w:rPr>
        <w:t>3</w:t>
      </w:r>
      <w:r>
        <w:rPr>
          <w:rFonts w:cs="Times New Roman"/>
          <w:color w:val="auto"/>
          <w:szCs w:val="32"/>
          <w:highlight w:val="none"/>
        </w:rPr>
        <w:t>的要求；氮氧化物不能满足河南省2020、2021年大气污染防治攻坚方案提出的小于100mg/m</w:t>
      </w:r>
      <w:r>
        <w:rPr>
          <w:rFonts w:cs="Times New Roman"/>
          <w:color w:val="auto"/>
          <w:szCs w:val="32"/>
          <w:highlight w:val="none"/>
          <w:vertAlign w:val="superscript"/>
        </w:rPr>
        <w:t>3</w:t>
      </w:r>
      <w:r>
        <w:rPr>
          <w:rFonts w:cs="Times New Roman"/>
          <w:color w:val="auto"/>
          <w:szCs w:val="32"/>
          <w:highlight w:val="none"/>
        </w:rPr>
        <w:t>的要求，氮氧化物小时浓度数据低于100mg/m</w:t>
      </w:r>
      <w:r>
        <w:rPr>
          <w:rFonts w:cs="Times New Roman"/>
          <w:color w:val="auto"/>
          <w:szCs w:val="32"/>
          <w:highlight w:val="none"/>
          <w:vertAlign w:val="superscript"/>
        </w:rPr>
        <w:t>3</w:t>
      </w:r>
      <w:r>
        <w:rPr>
          <w:rFonts w:cs="Times New Roman"/>
          <w:color w:val="auto"/>
          <w:szCs w:val="32"/>
          <w:highlight w:val="none"/>
        </w:rPr>
        <w:t>的比例为50.5%。</w:t>
      </w:r>
    </w:p>
    <w:p>
      <w:pPr>
        <w:spacing w:line="360" w:lineRule="auto"/>
        <w:ind w:firstLine="640"/>
        <w:rPr>
          <w:rFonts w:cs="Times New Roman"/>
          <w:color w:val="auto"/>
          <w:szCs w:val="32"/>
          <w:highlight w:val="none"/>
        </w:rPr>
      </w:pPr>
      <w:r>
        <w:rPr>
          <w:rFonts w:cs="Times New Roman"/>
          <w:color w:val="auto"/>
          <w:szCs w:val="32"/>
          <w:highlight w:val="none"/>
        </w:rPr>
        <w:t>氨排放虽然能满足河南省2020、2021年大气污染防治攻坚方案提出的排放限值要求，但因为多数企业氨排放在线设备没有经过环保验收，数据准确性有待核实；另一方面，《生活垃圾焚烧污染控制标准》（GB 18485-2014）没有对氨排放限值的规定，生活垃圾焚烧企业为了确保氮氧化物满足</w:t>
      </w:r>
      <w:r>
        <w:rPr>
          <w:rFonts w:hint="eastAsia" w:cs="Times New Roman"/>
          <w:color w:val="auto"/>
          <w:szCs w:val="32"/>
          <w:highlight w:val="none"/>
          <w:lang w:val="en-US" w:eastAsia="zh-CN"/>
        </w:rPr>
        <w:t>国家标准</w:t>
      </w:r>
      <w:r>
        <w:rPr>
          <w:rFonts w:cs="Times New Roman"/>
          <w:color w:val="auto"/>
          <w:szCs w:val="32"/>
          <w:highlight w:val="none"/>
        </w:rPr>
        <w:t>和河南省相关环境</w:t>
      </w:r>
      <w:r>
        <w:rPr>
          <w:rFonts w:hint="eastAsia" w:cs="Times New Roman"/>
          <w:color w:val="auto"/>
          <w:szCs w:val="32"/>
          <w:highlight w:val="none"/>
          <w:lang w:val="en-US" w:eastAsia="zh-CN"/>
        </w:rPr>
        <w:t>管理</w:t>
      </w:r>
      <w:r>
        <w:rPr>
          <w:rFonts w:cs="Times New Roman"/>
          <w:color w:val="auto"/>
          <w:szCs w:val="32"/>
          <w:highlight w:val="none"/>
        </w:rPr>
        <w:t>要求，可能会加大喷氨量，造成氨逃逸数据较高。</w:t>
      </w:r>
    </w:p>
    <w:bookmarkEnd w:id="40"/>
    <w:p>
      <w:pPr>
        <w:ind w:firstLine="640"/>
        <w:rPr>
          <w:rFonts w:cs="Times New Roman"/>
          <w:color w:val="auto"/>
          <w:highlight w:val="none"/>
        </w:rPr>
      </w:pPr>
      <w:bookmarkStart w:id="75" w:name="_Toc335320677"/>
      <w:r>
        <w:rPr>
          <w:rFonts w:cs="Times New Roman"/>
          <w:color w:val="auto"/>
          <w:highlight w:val="none"/>
        </w:rPr>
        <w:t>（2）手工监测数据</w:t>
      </w:r>
    </w:p>
    <w:p>
      <w:pPr>
        <w:ind w:firstLine="640"/>
        <w:rPr>
          <w:rFonts w:hint="eastAsia" w:eastAsia="仿宋_GB2312" w:cs="Times New Roman"/>
          <w:color w:val="auto"/>
          <w:szCs w:val="32"/>
          <w:highlight w:val="none"/>
          <w:lang w:eastAsia="zh-CN"/>
        </w:rPr>
      </w:pPr>
      <w:r>
        <w:rPr>
          <w:rFonts w:cs="Times New Roman"/>
          <w:color w:val="auto"/>
          <w:highlight w:val="none"/>
        </w:rPr>
        <w:t>根据2021年部分生活垃圾焚烧企业手工监测数据可知，颗</w:t>
      </w:r>
      <w:r>
        <w:rPr>
          <w:rFonts w:cs="Times New Roman"/>
          <w:color w:val="auto"/>
          <w:szCs w:val="32"/>
          <w:highlight w:val="none"/>
        </w:rPr>
        <w:t>粒物、二氧化硫、氮氧化物小时排放浓度范围分别为0.5~8.1mg/m</w:t>
      </w:r>
      <w:r>
        <w:rPr>
          <w:rFonts w:cs="Times New Roman"/>
          <w:color w:val="auto"/>
          <w:szCs w:val="32"/>
          <w:highlight w:val="none"/>
          <w:vertAlign w:val="superscript"/>
        </w:rPr>
        <w:t>3</w:t>
      </w:r>
      <w:r>
        <w:rPr>
          <w:rFonts w:cs="Times New Roman"/>
          <w:color w:val="auto"/>
          <w:szCs w:val="32"/>
          <w:highlight w:val="none"/>
        </w:rPr>
        <w:t>、未检出~48mg/m</w:t>
      </w:r>
      <w:r>
        <w:rPr>
          <w:rFonts w:cs="Times New Roman"/>
          <w:color w:val="auto"/>
          <w:szCs w:val="32"/>
          <w:highlight w:val="none"/>
          <w:vertAlign w:val="superscript"/>
        </w:rPr>
        <w:t>3</w:t>
      </w:r>
      <w:r>
        <w:rPr>
          <w:rFonts w:cs="Times New Roman"/>
          <w:color w:val="auto"/>
          <w:szCs w:val="32"/>
          <w:highlight w:val="none"/>
        </w:rPr>
        <w:t>、60~246mg/m</w:t>
      </w:r>
      <w:r>
        <w:rPr>
          <w:rFonts w:cs="Times New Roman"/>
          <w:color w:val="auto"/>
          <w:szCs w:val="32"/>
          <w:highlight w:val="none"/>
          <w:vertAlign w:val="superscript"/>
        </w:rPr>
        <w:t>3</w:t>
      </w:r>
      <w:r>
        <w:rPr>
          <w:rFonts w:cs="Times New Roman"/>
          <w:color w:val="auto"/>
          <w:szCs w:val="32"/>
          <w:highlight w:val="none"/>
        </w:rPr>
        <w:t>，均能满足《生活垃圾焚烧污染控制标准》（GB 18485-2014）要求</w:t>
      </w:r>
      <w:r>
        <w:rPr>
          <w:rFonts w:hint="eastAsia" w:cs="Times New Roman"/>
          <w:color w:val="auto"/>
          <w:szCs w:val="32"/>
          <w:highlight w:val="none"/>
          <w:lang w:eastAsia="zh-CN"/>
        </w:rPr>
        <w:t>。</w:t>
      </w:r>
    </w:p>
    <w:p>
      <w:pPr>
        <w:ind w:firstLine="640"/>
        <w:rPr>
          <w:rFonts w:cs="Times New Roman"/>
          <w:color w:val="auto"/>
          <w:szCs w:val="32"/>
          <w:highlight w:val="none"/>
        </w:rPr>
      </w:pPr>
      <w:r>
        <w:rPr>
          <w:rFonts w:cs="Times New Roman"/>
          <w:color w:val="auto"/>
          <w:szCs w:val="32"/>
          <w:highlight w:val="none"/>
        </w:rPr>
        <w:t>颗粒物、二氧化硫、</w:t>
      </w:r>
      <w:r>
        <w:rPr>
          <w:rFonts w:hint="default" w:ascii="Times New Roman" w:hAnsi="Times New Roman" w:eastAsia="仿宋_GB2312" w:cs="Times New Roman"/>
          <w:color w:val="auto"/>
          <w:sz w:val="32"/>
          <w:szCs w:val="32"/>
          <w:highlight w:val="none"/>
        </w:rPr>
        <w:t>氨小时平均浓度</w:t>
      </w:r>
      <w:r>
        <w:rPr>
          <w:rFonts w:cs="Times New Roman"/>
          <w:color w:val="auto"/>
          <w:szCs w:val="32"/>
          <w:highlight w:val="none"/>
        </w:rPr>
        <w:t>均能满足河南省大气污染防治攻坚方案要求；氮氧化物小时平均浓度值为1</w:t>
      </w:r>
      <w:r>
        <w:rPr>
          <w:rFonts w:hint="eastAsia" w:cs="Times New Roman"/>
          <w:color w:val="auto"/>
          <w:szCs w:val="32"/>
          <w:highlight w:val="none"/>
          <w:lang w:val="en-US" w:eastAsia="zh-CN"/>
        </w:rPr>
        <w:t>33.5</w:t>
      </w:r>
      <w:r>
        <w:rPr>
          <w:rFonts w:cs="Times New Roman"/>
          <w:color w:val="auto"/>
          <w:szCs w:val="32"/>
          <w:highlight w:val="none"/>
        </w:rPr>
        <w:t>mg/m</w:t>
      </w:r>
      <w:r>
        <w:rPr>
          <w:rFonts w:cs="Times New Roman"/>
          <w:color w:val="auto"/>
          <w:szCs w:val="32"/>
          <w:highlight w:val="none"/>
          <w:vertAlign w:val="superscript"/>
        </w:rPr>
        <w:t>3</w:t>
      </w:r>
      <w:r>
        <w:rPr>
          <w:rFonts w:cs="Times New Roman"/>
          <w:color w:val="auto"/>
          <w:szCs w:val="32"/>
          <w:highlight w:val="none"/>
        </w:rPr>
        <w:t>，不能满足河南省大气污染防治攻坚方案要求。</w:t>
      </w:r>
    </w:p>
    <w:p>
      <w:pPr>
        <w:ind w:firstLine="707" w:firstLineChars="221"/>
        <w:rPr>
          <w:rFonts w:cs="Times New Roman"/>
          <w:color w:val="auto"/>
          <w:szCs w:val="32"/>
          <w:highlight w:val="none"/>
        </w:rPr>
      </w:pPr>
      <w:r>
        <w:rPr>
          <w:rFonts w:cs="Times New Roman"/>
          <w:color w:val="auto"/>
          <w:szCs w:val="32"/>
          <w:highlight w:val="none"/>
        </w:rPr>
        <w:t>氯化氢、一氧化碳、汞及其化合物</w:t>
      </w:r>
      <w:bookmarkStart w:id="76" w:name="_Hlk120532739"/>
      <w:r>
        <w:rPr>
          <w:rFonts w:cs="Times New Roman"/>
          <w:color w:val="auto"/>
          <w:szCs w:val="32"/>
          <w:highlight w:val="none"/>
        </w:rPr>
        <w:t>，</w:t>
      </w:r>
      <w:bookmarkEnd w:id="76"/>
      <w:r>
        <w:rPr>
          <w:rFonts w:cs="Times New Roman"/>
          <w:color w:val="auto"/>
          <w:szCs w:val="32"/>
          <w:highlight w:val="none"/>
        </w:rPr>
        <w:t>镉、铊及其化合物，锑、砷、铅、铬、钴、铜、锰、镍及其化合物，二噁英平均浓度分别为1.43~20.8mg/m</w:t>
      </w:r>
      <w:r>
        <w:rPr>
          <w:rFonts w:cs="Times New Roman"/>
          <w:color w:val="auto"/>
          <w:szCs w:val="32"/>
          <w:highlight w:val="none"/>
          <w:vertAlign w:val="superscript"/>
        </w:rPr>
        <w:t>3</w:t>
      </w:r>
      <w:r>
        <w:rPr>
          <w:rFonts w:cs="Times New Roman"/>
          <w:color w:val="auto"/>
          <w:szCs w:val="32"/>
          <w:highlight w:val="none"/>
        </w:rPr>
        <w:t>、未检出~16mg/m</w:t>
      </w:r>
      <w:r>
        <w:rPr>
          <w:rFonts w:cs="Times New Roman"/>
          <w:color w:val="auto"/>
          <w:szCs w:val="32"/>
          <w:highlight w:val="none"/>
          <w:vertAlign w:val="superscript"/>
        </w:rPr>
        <w:t>3</w:t>
      </w:r>
      <w:r>
        <w:rPr>
          <w:rFonts w:cs="Times New Roman"/>
          <w:color w:val="auto"/>
          <w:szCs w:val="32"/>
          <w:highlight w:val="none"/>
        </w:rPr>
        <w:t>、0.003~6.3μg/m</w:t>
      </w:r>
      <w:r>
        <w:rPr>
          <w:rFonts w:cs="Times New Roman"/>
          <w:color w:val="auto"/>
          <w:szCs w:val="32"/>
          <w:highlight w:val="none"/>
          <w:vertAlign w:val="superscript"/>
        </w:rPr>
        <w:t>3</w:t>
      </w:r>
      <w:r>
        <w:rPr>
          <w:rFonts w:cs="Times New Roman"/>
          <w:color w:val="auto"/>
          <w:szCs w:val="32"/>
          <w:highlight w:val="none"/>
        </w:rPr>
        <w:t>、0.0087~6.013μg/m</w:t>
      </w:r>
      <w:r>
        <w:rPr>
          <w:rFonts w:cs="Times New Roman"/>
          <w:color w:val="auto"/>
          <w:szCs w:val="32"/>
          <w:highlight w:val="none"/>
          <w:vertAlign w:val="superscript"/>
        </w:rPr>
        <w:t>3</w:t>
      </w:r>
      <w:r>
        <w:rPr>
          <w:rFonts w:cs="Times New Roman"/>
          <w:color w:val="auto"/>
          <w:szCs w:val="32"/>
          <w:highlight w:val="none"/>
        </w:rPr>
        <w:t>、4.97~194.13μg/m</w:t>
      </w:r>
      <w:r>
        <w:rPr>
          <w:rFonts w:cs="Times New Roman"/>
          <w:color w:val="auto"/>
          <w:szCs w:val="32"/>
          <w:highlight w:val="none"/>
          <w:vertAlign w:val="superscript"/>
        </w:rPr>
        <w:t>3</w:t>
      </w:r>
      <w:r>
        <w:rPr>
          <w:rFonts w:cs="Times New Roman"/>
          <w:color w:val="auto"/>
          <w:szCs w:val="32"/>
          <w:highlight w:val="none"/>
        </w:rPr>
        <w:t>、0.0045~0.075ngTEQ/Nm</w:t>
      </w:r>
      <w:r>
        <w:rPr>
          <w:rFonts w:cs="Times New Roman"/>
          <w:color w:val="auto"/>
          <w:szCs w:val="32"/>
          <w:highlight w:val="none"/>
          <w:vertAlign w:val="superscript"/>
        </w:rPr>
        <w:t>3</w:t>
      </w:r>
      <w:r>
        <w:rPr>
          <w:rFonts w:cs="Times New Roman"/>
          <w:color w:val="auto"/>
          <w:szCs w:val="32"/>
          <w:highlight w:val="none"/>
        </w:rPr>
        <w:t>，均能满足《生活垃圾焚烧污染控制标准》（GB 18485-2014）要求。</w:t>
      </w:r>
    </w:p>
    <w:bookmarkEnd w:id="75"/>
    <w:p>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仿宋_GB2312" w:cs="Times New Roman"/>
          <w:color w:val="auto"/>
          <w:kern w:val="2"/>
          <w:szCs w:val="22"/>
          <w:highlight w:val="none"/>
          <w:lang w:val="en-US" w:eastAsia="zh-CN"/>
        </w:rPr>
      </w:pPr>
      <w:bookmarkStart w:id="77" w:name="_Toc19630"/>
      <w:r>
        <w:rPr>
          <w:rFonts w:hint="default" w:ascii="Times New Roman" w:hAnsi="Times New Roman" w:eastAsia="仿宋_GB2312" w:cs="Times New Roman"/>
          <w:color w:val="auto"/>
          <w:kern w:val="2"/>
          <w:szCs w:val="22"/>
          <w:highlight w:val="none"/>
          <w:lang w:val="en-US" w:eastAsia="zh-CN"/>
        </w:rPr>
        <w:t>5. 标准的主要内容</w:t>
      </w:r>
      <w:bookmarkEnd w:id="77"/>
    </w:p>
    <w:p>
      <w:pPr>
        <w:ind w:firstLine="640"/>
        <w:rPr>
          <w:rFonts w:cs="Times New Roman"/>
          <w:color w:val="auto"/>
          <w:highlight w:val="none"/>
        </w:rPr>
      </w:pPr>
      <w:r>
        <w:rPr>
          <w:rFonts w:cs="Times New Roman"/>
          <w:color w:val="auto"/>
          <w:highlight w:val="none"/>
        </w:rPr>
        <w:t>本标准按照GB/T 1.1—2020《标准化工作导则  第1部分：标准化文件的结构和起草规则》的规则起草，标准主要内容包括适用范围、规范性引用文件、术语和定义、大气污染物排放控制要求、其他控制要求、污染物监测要求、实施与监督等七部分。</w:t>
      </w:r>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78" w:name="_Toc23528"/>
      <w:r>
        <w:rPr>
          <w:rFonts w:ascii="Times New Roman" w:hAnsi="Times New Roman" w:eastAsia="仿宋_GB2312" w:cs="Times New Roman"/>
          <w:b/>
          <w:bCs/>
          <w:color w:val="auto"/>
          <w:szCs w:val="22"/>
          <w:highlight w:val="none"/>
        </w:rPr>
        <w:t>5.1</w:t>
      </w:r>
      <w:r>
        <w:rPr>
          <w:rFonts w:hint="eastAsia" w:eastAsia="仿宋_GB2312" w:cs="Times New Roman"/>
          <w:b/>
          <w:bCs/>
          <w:color w:val="auto"/>
          <w:szCs w:val="22"/>
          <w:highlight w:val="none"/>
          <w:lang w:val="en-US" w:eastAsia="zh-CN"/>
        </w:rPr>
        <w:t xml:space="preserve"> </w:t>
      </w:r>
      <w:r>
        <w:rPr>
          <w:rFonts w:ascii="Times New Roman" w:hAnsi="Times New Roman" w:eastAsia="仿宋_GB2312" w:cs="Times New Roman"/>
          <w:b/>
          <w:bCs/>
          <w:color w:val="auto"/>
          <w:szCs w:val="22"/>
          <w:highlight w:val="none"/>
        </w:rPr>
        <w:t>适用范围确定</w:t>
      </w:r>
      <w:bookmarkEnd w:id="78"/>
      <w:r>
        <w:rPr>
          <w:rFonts w:ascii="Times New Roman" w:hAnsi="Times New Roman" w:eastAsia="仿宋_GB2312" w:cs="Times New Roman"/>
          <w:b/>
          <w:bCs/>
          <w:color w:val="auto"/>
          <w:szCs w:val="22"/>
          <w:highlight w:val="none"/>
        </w:rPr>
        <w:t xml:space="preserve"> </w:t>
      </w:r>
    </w:p>
    <w:p>
      <w:pPr>
        <w:ind w:firstLine="640"/>
        <w:rPr>
          <w:rFonts w:cs="Times New Roman"/>
          <w:color w:val="auto"/>
          <w:highlight w:val="none"/>
        </w:rPr>
      </w:pPr>
      <w:bookmarkStart w:id="79" w:name="_Toc482743093"/>
      <w:bookmarkStart w:id="80" w:name="_Toc482742917"/>
      <w:r>
        <w:rPr>
          <w:rFonts w:cs="Times New Roman"/>
          <w:color w:val="auto"/>
          <w:highlight w:val="none"/>
        </w:rPr>
        <w:t>本标准适用范围以延续国标 GB18485-2014 相关规定为主。同时根据国家相关文件和和河南省生活垃圾焚烧企业实际情况，并参考国内各地相关标准，从而最终确定。</w:t>
      </w:r>
    </w:p>
    <w:p>
      <w:pPr>
        <w:ind w:firstLine="640"/>
        <w:rPr>
          <w:rFonts w:cs="Times New Roman"/>
          <w:color w:val="auto"/>
          <w:highlight w:val="none"/>
        </w:rPr>
      </w:pPr>
      <w:r>
        <w:rPr>
          <w:rFonts w:cs="Times New Roman"/>
          <w:color w:val="auto"/>
          <w:highlight w:val="none"/>
        </w:rPr>
        <w:t>本文件规定了生活垃圾焚烧企业大气污染物排放控制要求、其他控制要求、污染物监测和监督管理要求。</w:t>
      </w:r>
      <w:bookmarkEnd w:id="79"/>
      <w:bookmarkEnd w:id="80"/>
    </w:p>
    <w:p>
      <w:pPr>
        <w:ind w:firstLine="640"/>
        <w:rPr>
          <w:rFonts w:cs="Times New Roman"/>
          <w:color w:val="auto"/>
          <w:highlight w:val="none"/>
        </w:rPr>
      </w:pPr>
      <w:bookmarkStart w:id="81" w:name="_Toc482743094"/>
      <w:bookmarkStart w:id="82" w:name="_Toc482742918"/>
      <w:r>
        <w:rPr>
          <w:rFonts w:cs="Times New Roman"/>
          <w:color w:val="auto"/>
          <w:highlight w:val="none"/>
        </w:rPr>
        <w:t>本文件适用于现有生活垃圾焚烧企业的大气污染物排放管理，以及生活垃圾焚烧建设项目的环境影响评价、环境保护设施设计、竣工环境保护验收、排污许可证核发及其投产后的大气污染物排放管理。</w:t>
      </w:r>
      <w:bookmarkEnd w:id="81"/>
      <w:bookmarkEnd w:id="82"/>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83" w:name="_Toc5355"/>
      <w:r>
        <w:rPr>
          <w:rFonts w:ascii="Times New Roman" w:hAnsi="Times New Roman" w:eastAsia="仿宋_GB2312" w:cs="Times New Roman"/>
          <w:b/>
          <w:bCs/>
          <w:color w:val="auto"/>
          <w:szCs w:val="22"/>
          <w:highlight w:val="none"/>
        </w:rPr>
        <w:t>5.</w:t>
      </w:r>
      <w:r>
        <w:rPr>
          <w:rFonts w:hint="eastAsia" w:eastAsia="仿宋_GB2312" w:cs="Times New Roman"/>
          <w:b/>
          <w:bCs/>
          <w:color w:val="auto"/>
          <w:szCs w:val="22"/>
          <w:highlight w:val="none"/>
          <w:lang w:val="en-US" w:eastAsia="zh-CN"/>
        </w:rPr>
        <w:t xml:space="preserve">2 </w:t>
      </w:r>
      <w:r>
        <w:rPr>
          <w:rFonts w:ascii="Times New Roman" w:hAnsi="Times New Roman" w:eastAsia="仿宋_GB2312" w:cs="Times New Roman"/>
          <w:b/>
          <w:bCs/>
          <w:color w:val="auto"/>
          <w:szCs w:val="22"/>
          <w:highlight w:val="none"/>
        </w:rPr>
        <w:t>术语与定义确定</w:t>
      </w:r>
      <w:bookmarkEnd w:id="83"/>
      <w:r>
        <w:rPr>
          <w:rFonts w:ascii="Times New Roman" w:hAnsi="Times New Roman" w:eastAsia="仿宋_GB2312" w:cs="Times New Roman"/>
          <w:b/>
          <w:bCs/>
          <w:color w:val="auto"/>
          <w:szCs w:val="22"/>
          <w:highlight w:val="none"/>
        </w:rPr>
        <w:t xml:space="preserve"> </w:t>
      </w:r>
    </w:p>
    <w:p>
      <w:pPr>
        <w:ind w:firstLine="640"/>
        <w:rPr>
          <w:rFonts w:hint="default" w:eastAsia="仿宋_GB2312" w:cs="Times New Roman"/>
          <w:color w:val="auto"/>
          <w:highlight w:val="none"/>
          <w:lang w:val="en-US" w:eastAsia="zh-CN"/>
        </w:rPr>
      </w:pPr>
      <w:r>
        <w:rPr>
          <w:rFonts w:cs="Times New Roman"/>
          <w:color w:val="auto"/>
          <w:highlight w:val="none"/>
        </w:rPr>
        <w:t>本标准规定了“生活垃圾”、“焚烧炉”、“烟气净化系统”、“烟气停留时间”、“二噁英类”、“现有企业”、“新建企业”、“测定均值”等8个术语。</w:t>
      </w:r>
      <w:r>
        <w:rPr>
          <w:rFonts w:hint="eastAsia" w:cs="Times New Roman"/>
          <w:color w:val="auto"/>
          <w:highlight w:val="none"/>
          <w:lang w:val="en-US" w:eastAsia="zh-CN"/>
        </w:rPr>
        <w:t>主要是参考国家标准、最新技术规范及参考其他省份相关定义确定。</w:t>
      </w:r>
    </w:p>
    <w:p>
      <w:pPr>
        <w:ind w:firstLine="640"/>
        <w:rPr>
          <w:rFonts w:hint="eastAsia" w:eastAsia="仿宋_GB2312" w:cs="Times New Roman"/>
          <w:color w:val="auto"/>
          <w:highlight w:val="none"/>
          <w:lang w:eastAsia="zh-CN"/>
        </w:rPr>
      </w:pPr>
      <w:r>
        <w:rPr>
          <w:rFonts w:cs="Times New Roman"/>
          <w:color w:val="auto"/>
          <w:highlight w:val="none"/>
        </w:rPr>
        <w:t>生活垃圾：在日常生活中或者为日常生活提供服务的活动中产生的固体废物以及法律、行政法规规定视为生活垃圾的固体废物。</w:t>
      </w:r>
    </w:p>
    <w:p>
      <w:pPr>
        <w:ind w:firstLine="640"/>
        <w:rPr>
          <w:rFonts w:cs="Times New Roman"/>
          <w:color w:val="auto"/>
          <w:highlight w:val="none"/>
        </w:rPr>
      </w:pPr>
      <w:bookmarkStart w:id="84" w:name="_Hlk71731418"/>
      <w:r>
        <w:rPr>
          <w:rFonts w:cs="Times New Roman"/>
          <w:color w:val="auto"/>
          <w:highlight w:val="none"/>
        </w:rPr>
        <w:t>焚烧炉：利用高温氧化作用处理生活垃圾的装置。</w:t>
      </w:r>
    </w:p>
    <w:p>
      <w:pPr>
        <w:widowControl/>
        <w:ind w:firstLine="640" w:firstLineChars="200"/>
        <w:rPr>
          <w:rFonts w:cs="Times New Roman"/>
          <w:color w:val="auto"/>
          <w:highlight w:val="none"/>
        </w:rPr>
      </w:pPr>
      <w:r>
        <w:rPr>
          <w:rFonts w:cs="Times New Roman"/>
          <w:color w:val="auto"/>
          <w:highlight w:val="none"/>
        </w:rPr>
        <w:t>烟气净化系统：</w:t>
      </w:r>
      <w:r>
        <w:rPr>
          <w:rFonts w:hint="eastAsia" w:ascii="宋体" w:hAnsi="宋体"/>
          <w:color w:val="auto"/>
          <w:kern w:val="0"/>
          <w:szCs w:val="21"/>
          <w:highlight w:val="none"/>
        </w:rPr>
        <w:t>烟气净化处理所采用的各种处理设备和设施组成的系统。</w:t>
      </w:r>
    </w:p>
    <w:p>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rPr>
        <w:t>烟气停留时间：</w:t>
      </w:r>
      <w:bookmarkEnd w:id="84"/>
      <w:r>
        <w:rPr>
          <w:rFonts w:hint="default" w:ascii="Times New Roman" w:hAnsi="Times New Roman" w:cs="Times New Roman"/>
          <w:color w:val="auto"/>
          <w:kern w:val="0"/>
          <w:szCs w:val="21"/>
          <w:highlight w:val="none"/>
        </w:rPr>
        <w:t>燃烧所产生的烟气处于高温段（≥850℃）的持续时间，可通过炉膛内高温段（≥850℃）有效容积与炉膛烟气流量的比值计算。</w:t>
      </w:r>
    </w:p>
    <w:p>
      <w:pPr>
        <w:autoSpaceDE w:val="0"/>
        <w:autoSpaceDN w:val="0"/>
        <w:adjustRightInd w:val="0"/>
        <w:ind w:firstLine="640"/>
        <w:rPr>
          <w:rFonts w:cs="Times New Roman"/>
          <w:color w:val="auto"/>
          <w:szCs w:val="32"/>
          <w:highlight w:val="none"/>
        </w:rPr>
      </w:pPr>
      <w:r>
        <w:rPr>
          <w:rFonts w:cs="Times New Roman"/>
          <w:color w:val="auto"/>
          <w:szCs w:val="32"/>
          <w:highlight w:val="none"/>
        </w:rPr>
        <w:t>二噁英类：</w:t>
      </w:r>
      <w:r>
        <w:rPr>
          <w:rFonts w:hint="eastAsia" w:cs="Times New Roman"/>
          <w:color w:val="auto"/>
          <w:szCs w:val="32"/>
          <w:highlight w:val="none"/>
        </w:rPr>
        <w:t>多氯代二苯并-对-二噁英（PCDDs）和多氯代二苯并呋喃（PCDFs）的统称。</w:t>
      </w:r>
      <w:r>
        <w:rPr>
          <w:rFonts w:cs="Times New Roman"/>
          <w:color w:val="auto"/>
          <w:szCs w:val="32"/>
          <w:highlight w:val="none"/>
        </w:rPr>
        <w:t>。</w:t>
      </w:r>
    </w:p>
    <w:p>
      <w:pPr>
        <w:widowControl/>
        <w:ind w:firstLine="640" w:firstLineChars="200"/>
        <w:rPr>
          <w:rFonts w:hint="default" w:ascii="Times New Roman" w:hAnsi="Times New Roman" w:cs="Times New Roman"/>
          <w:color w:val="auto"/>
          <w:szCs w:val="32"/>
          <w:highlight w:val="none"/>
        </w:rPr>
      </w:pPr>
      <w:r>
        <w:rPr>
          <w:rFonts w:cs="Times New Roman"/>
          <w:color w:val="auto"/>
          <w:szCs w:val="32"/>
          <w:highlight w:val="none"/>
        </w:rPr>
        <w:t>现有企业：</w:t>
      </w:r>
      <w:r>
        <w:rPr>
          <w:rFonts w:hint="eastAsia" w:ascii="宋体" w:hAnsi="宋体"/>
          <w:color w:val="auto"/>
          <w:kern w:val="0"/>
          <w:szCs w:val="21"/>
          <w:highlight w:val="none"/>
        </w:rPr>
        <w:t>本文件实施之日前，已建成投产或环境影响</w:t>
      </w:r>
      <w:r>
        <w:rPr>
          <w:rFonts w:hint="default" w:ascii="Times New Roman" w:hAnsi="Times New Roman" w:cs="Times New Roman"/>
          <w:color w:val="auto"/>
          <w:kern w:val="0"/>
          <w:szCs w:val="21"/>
          <w:highlight w:val="none"/>
        </w:rPr>
        <w:t>评价文件已通过审批的生活垃圾焚烧企业。</w:t>
      </w:r>
    </w:p>
    <w:p>
      <w:pPr>
        <w:widowControl/>
        <w:ind w:firstLine="64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szCs w:val="32"/>
          <w:highlight w:val="none"/>
        </w:rPr>
        <w:t>新建企业：</w:t>
      </w:r>
      <w:r>
        <w:rPr>
          <w:rFonts w:hint="default" w:ascii="Times New Roman" w:hAnsi="Times New Roman" w:cs="Times New Roman"/>
          <w:color w:val="auto"/>
          <w:kern w:val="0"/>
          <w:szCs w:val="21"/>
          <w:highlight w:val="none"/>
        </w:rPr>
        <w:t>自本文件实施之日起，环境影响评价文件通过审批或备案的新建、改建和扩建的生活垃圾焚烧企业。</w:t>
      </w:r>
    </w:p>
    <w:p>
      <w:pPr>
        <w:widowControl/>
        <w:ind w:firstLine="640" w:firstLineChars="200"/>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 xml:space="preserve">标准状态：温度为 </w:t>
      </w:r>
      <w:r>
        <w:rPr>
          <w:rFonts w:hint="default" w:ascii="Times New Roman" w:hAnsi="Times New Roman" w:cs="Times New Roman"/>
          <w:color w:val="auto"/>
          <w:kern w:val="0"/>
          <w:szCs w:val="21"/>
          <w:highlight w:val="none"/>
          <w:lang w:val="en-US" w:eastAsia="zh-CN"/>
        </w:rPr>
        <w:t>273.15 K</w:t>
      </w:r>
      <w:r>
        <w:rPr>
          <w:rFonts w:hint="eastAsia" w:ascii="Times New Roman" w:hAnsi="Times New Roman" w:cs="Times New Roman"/>
          <w:color w:val="auto"/>
          <w:kern w:val="0"/>
          <w:szCs w:val="21"/>
          <w:highlight w:val="none"/>
          <w:lang w:val="en-US" w:eastAsia="zh-CN"/>
        </w:rPr>
        <w:t xml:space="preserve">，压力为 </w:t>
      </w:r>
      <w:r>
        <w:rPr>
          <w:rFonts w:hint="default" w:ascii="Times New Roman" w:hAnsi="Times New Roman" w:cs="Times New Roman"/>
          <w:color w:val="auto"/>
          <w:kern w:val="0"/>
          <w:szCs w:val="21"/>
          <w:highlight w:val="none"/>
          <w:lang w:val="en-US" w:eastAsia="zh-CN"/>
        </w:rPr>
        <w:t xml:space="preserve">101.325 kPa </w:t>
      </w:r>
      <w:r>
        <w:rPr>
          <w:rFonts w:hint="eastAsia" w:ascii="Times New Roman" w:hAnsi="Times New Roman" w:cs="Times New Roman"/>
          <w:color w:val="auto"/>
          <w:kern w:val="0"/>
          <w:szCs w:val="21"/>
          <w:highlight w:val="none"/>
          <w:lang w:val="en-US" w:eastAsia="zh-CN"/>
        </w:rPr>
        <w:t>时的状态。本标准规定的大气污染物排放浓度限值均以标准状态下的干气体为基准。</w:t>
      </w:r>
    </w:p>
    <w:p>
      <w:pPr>
        <w:widowControl/>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rPr>
        <w:t>测定均值：</w:t>
      </w:r>
      <w:r>
        <w:rPr>
          <w:rFonts w:hint="default" w:ascii="Times New Roman" w:hAnsi="Times New Roman" w:cs="Times New Roman"/>
          <w:color w:val="auto"/>
          <w:kern w:val="0"/>
          <w:szCs w:val="21"/>
          <w:highlight w:val="none"/>
        </w:rPr>
        <w:t>在一定时间内采集的一定数量样品中污染物浓度测试值的算术平均值。对于二噁英类的监测，应在 6～12个小时内完成不少于3个样品的采集；对于重金属类污染物的监测，应在0.5～8个小时内完成不少于3个样品的采集。</w:t>
      </w:r>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85" w:name="_Toc8769"/>
      <w:r>
        <w:rPr>
          <w:rFonts w:ascii="Times New Roman" w:hAnsi="Times New Roman" w:eastAsia="仿宋_GB2312" w:cs="Times New Roman"/>
          <w:b/>
          <w:bCs/>
          <w:color w:val="auto"/>
          <w:szCs w:val="22"/>
          <w:highlight w:val="none"/>
        </w:rPr>
        <w:t>5.</w:t>
      </w:r>
      <w:r>
        <w:rPr>
          <w:rFonts w:hint="eastAsia" w:eastAsia="仿宋_GB2312" w:cs="Times New Roman"/>
          <w:b/>
          <w:bCs/>
          <w:color w:val="auto"/>
          <w:szCs w:val="22"/>
          <w:highlight w:val="none"/>
          <w:lang w:val="en-US" w:eastAsia="zh-CN"/>
        </w:rPr>
        <w:t xml:space="preserve">3 </w:t>
      </w:r>
      <w:r>
        <w:rPr>
          <w:rFonts w:ascii="Times New Roman" w:hAnsi="Times New Roman" w:eastAsia="仿宋_GB2312" w:cs="Times New Roman"/>
          <w:b/>
          <w:bCs/>
          <w:color w:val="auto"/>
          <w:szCs w:val="22"/>
          <w:highlight w:val="none"/>
        </w:rPr>
        <w:t>规范性引用文件确定</w:t>
      </w:r>
      <w:bookmarkEnd w:id="85"/>
    </w:p>
    <w:p>
      <w:pPr>
        <w:spacing w:line="360" w:lineRule="auto"/>
        <w:ind w:firstLine="640"/>
        <w:rPr>
          <w:rFonts w:eastAsia="仿宋" w:cs="Times New Roman"/>
          <w:color w:val="auto"/>
          <w:highlight w:val="none"/>
        </w:rPr>
      </w:pPr>
      <w:r>
        <w:rPr>
          <w:rFonts w:cs="Times New Roman"/>
          <w:color w:val="auto"/>
          <w:highlight w:val="none"/>
        </w:rPr>
        <w:t>规范性引用文件涉及颗粒物、二氧化硫、氮氧化物、氯化氢、一氧化碳、汞及其化合物，镉、铊及其化合物，锑、砷、铅、铬、钴、铜、锰、镍及其化合物，二噁英、氨等</w:t>
      </w:r>
      <w:r>
        <w:rPr>
          <w:rFonts w:cs="Times New Roman"/>
          <w:color w:val="auto"/>
          <w:szCs w:val="32"/>
          <w:highlight w:val="none"/>
        </w:rPr>
        <w:t>10项</w:t>
      </w:r>
      <w:r>
        <w:rPr>
          <w:rFonts w:cs="Times New Roman"/>
          <w:color w:val="auto"/>
          <w:highlight w:val="none"/>
        </w:rPr>
        <w:t>污染物的监测分析方法、技术规范、管理办法等。包括：</w:t>
      </w:r>
    </w:p>
    <w:p>
      <w:pPr>
        <w:ind w:firstLine="640"/>
        <w:rPr>
          <w:rFonts w:cs="Times New Roman"/>
          <w:color w:val="auto"/>
          <w:highlight w:val="none"/>
        </w:rPr>
      </w:pPr>
      <w:r>
        <w:rPr>
          <w:rFonts w:hint="eastAsia" w:cs="Times New Roman"/>
          <w:color w:val="auto"/>
          <w:highlight w:val="none"/>
          <w:lang w:eastAsia="zh-CN"/>
        </w:rPr>
        <w:t>（</w:t>
      </w:r>
      <w:r>
        <w:rPr>
          <w:rFonts w:hint="eastAsia" w:cs="Times New Roman"/>
          <w:color w:val="auto"/>
          <w:highlight w:val="none"/>
          <w:lang w:val="en-US" w:eastAsia="zh-CN"/>
        </w:rPr>
        <w:t>1</w:t>
      </w:r>
      <w:r>
        <w:rPr>
          <w:rFonts w:hint="eastAsia" w:cs="Times New Roman"/>
          <w:color w:val="auto"/>
          <w:highlight w:val="none"/>
          <w:lang w:eastAsia="zh-CN"/>
        </w:rPr>
        <w:t>）</w:t>
      </w:r>
      <w:r>
        <w:rPr>
          <w:rFonts w:cs="Times New Roman"/>
          <w:color w:val="auto"/>
          <w:highlight w:val="none"/>
        </w:rPr>
        <w:t>《恶臭污染物排放标准》（GB 14554）、《环境空气  总悬浮颗粒物的测定  重量法</w:t>
      </w:r>
      <w:bookmarkStart w:id="86" w:name="_Hlk120537589"/>
      <w:r>
        <w:rPr>
          <w:rFonts w:cs="Times New Roman"/>
          <w:color w:val="auto"/>
          <w:highlight w:val="none"/>
        </w:rPr>
        <w:t>》</w:t>
      </w:r>
      <w:bookmarkEnd w:id="86"/>
      <w:r>
        <w:rPr>
          <w:rFonts w:cs="Times New Roman"/>
          <w:color w:val="auto"/>
          <w:highlight w:val="none"/>
        </w:rPr>
        <w:t>（GB/T 15432）、《固定污染源排气中颗粒物测定与气态污染物采样方法》（GB/T 16157）、 《大气污染物综合排放标准》（GB 16297） 、《生活垃圾焚烧污染控制标准》（GB 18485）等5项国家标准。</w:t>
      </w:r>
    </w:p>
    <w:p>
      <w:pPr>
        <w:widowControl/>
        <w:ind w:firstLine="640"/>
        <w:jc w:val="left"/>
        <w:rPr>
          <w:rFonts w:hint="eastAsia" w:eastAsia="仿宋_GB2312" w:cs="Times New Roman"/>
          <w:color w:val="auto"/>
          <w:highlight w:val="none"/>
          <w:lang w:eastAsia="zh-CN"/>
        </w:rPr>
      </w:pPr>
      <w:bookmarkStart w:id="87" w:name="_Hlk120537470"/>
      <w:r>
        <w:rPr>
          <w:rFonts w:hint="eastAsia" w:cs="Times New Roman"/>
          <w:color w:val="auto"/>
          <w:highlight w:val="none"/>
          <w:lang w:eastAsia="zh-CN"/>
        </w:rPr>
        <w:t>（</w:t>
      </w:r>
      <w:r>
        <w:rPr>
          <w:rFonts w:hint="eastAsia" w:cs="Times New Roman"/>
          <w:color w:val="auto"/>
          <w:highlight w:val="none"/>
          <w:lang w:val="en-US" w:eastAsia="zh-CN"/>
        </w:rPr>
        <w:t>2</w:t>
      </w:r>
      <w:r>
        <w:rPr>
          <w:rFonts w:hint="eastAsia" w:cs="Times New Roman"/>
          <w:color w:val="auto"/>
          <w:highlight w:val="none"/>
          <w:lang w:eastAsia="zh-CN"/>
        </w:rPr>
        <w:t>）</w:t>
      </w:r>
      <w:r>
        <w:rPr>
          <w:rFonts w:hint="eastAsia" w:cs="Times New Roman"/>
          <w:color w:val="auto"/>
          <w:highlight w:val="none"/>
          <w:lang w:val="en-US" w:eastAsia="zh-CN"/>
        </w:rPr>
        <w:t>关于污染物测定方法等，如</w:t>
      </w:r>
      <w:bookmarkStart w:id="88" w:name="_Toc482743099"/>
      <w:bookmarkStart w:id="89" w:name="_Toc482742923"/>
      <w:r>
        <w:rPr>
          <w:rFonts w:hint="eastAsia" w:cs="Times New Roman"/>
          <w:color w:val="auto"/>
          <w:highlight w:val="none"/>
          <w:lang w:eastAsia="zh-CN"/>
        </w:rPr>
        <w:t>《</w:t>
      </w:r>
      <w:r>
        <w:rPr>
          <w:rFonts w:hint="eastAsia" w:cs="Times New Roman"/>
          <w:color w:val="auto"/>
          <w:highlight w:val="none"/>
        </w:rPr>
        <w:t>固定污染源排气中氮氧化物的测定  紫外分光光度法</w:t>
      </w:r>
      <w:bookmarkEnd w:id="88"/>
      <w:bookmarkEnd w:id="89"/>
      <w:r>
        <w:rPr>
          <w:rFonts w:hint="eastAsia" w:cs="Times New Roman"/>
          <w:color w:val="auto"/>
          <w:highlight w:val="none"/>
          <w:lang w:eastAsia="zh-CN"/>
        </w:rPr>
        <w:t>》（</w:t>
      </w:r>
      <w:r>
        <w:rPr>
          <w:rFonts w:hint="eastAsia" w:cs="Times New Roman"/>
          <w:color w:val="auto"/>
          <w:highlight w:val="none"/>
        </w:rPr>
        <w:t>HJ/T 42</w:t>
      </w:r>
      <w:r>
        <w:rPr>
          <w:rFonts w:hint="eastAsia" w:cs="Times New Roman"/>
          <w:color w:val="auto"/>
          <w:highlight w:val="none"/>
          <w:lang w:eastAsia="zh-CN"/>
        </w:rPr>
        <w:t>）、</w:t>
      </w:r>
      <w:bookmarkStart w:id="90" w:name="_Toc482742924"/>
      <w:bookmarkStart w:id="91" w:name="_Toc482743100"/>
      <w:r>
        <w:rPr>
          <w:rFonts w:hint="eastAsia" w:cs="Times New Roman"/>
          <w:color w:val="auto"/>
          <w:highlight w:val="none"/>
          <w:lang w:eastAsia="zh-CN"/>
        </w:rPr>
        <w:t>《</w:t>
      </w:r>
      <w:r>
        <w:rPr>
          <w:rFonts w:hint="eastAsia" w:cs="Times New Roman"/>
          <w:color w:val="auto"/>
          <w:highlight w:val="none"/>
        </w:rPr>
        <w:t>固定污染源排气中氮氧化物的测定  盐酸萘乙二胺分光光度法</w:t>
      </w:r>
      <w:bookmarkEnd w:id="90"/>
      <w:bookmarkEnd w:id="91"/>
      <w:r>
        <w:rPr>
          <w:rFonts w:hint="eastAsia" w:cs="Times New Roman"/>
          <w:color w:val="auto"/>
          <w:highlight w:val="none"/>
          <w:lang w:eastAsia="zh-CN"/>
        </w:rPr>
        <w:t>》（</w:t>
      </w:r>
      <w:r>
        <w:rPr>
          <w:rFonts w:hint="eastAsia" w:cs="Times New Roman"/>
          <w:color w:val="auto"/>
          <w:highlight w:val="none"/>
        </w:rPr>
        <w:t>HJ/T 43</w:t>
      </w:r>
      <w:r>
        <w:rPr>
          <w:rFonts w:hint="eastAsia" w:cs="Times New Roman"/>
          <w:color w:val="auto"/>
          <w:highlight w:val="none"/>
          <w:lang w:eastAsia="zh-CN"/>
        </w:rPr>
        <w:t>）</w:t>
      </w:r>
      <w:r>
        <w:rPr>
          <w:rFonts w:hint="eastAsia" w:cs="Times New Roman"/>
          <w:color w:val="auto"/>
          <w:highlight w:val="none"/>
          <w:lang w:val="en-US" w:eastAsia="zh-CN"/>
        </w:rPr>
        <w:t>等，以及</w:t>
      </w:r>
      <w:r>
        <w:rPr>
          <w:rFonts w:hint="eastAsia" w:cs="Times New Roman"/>
          <w:color w:val="auto"/>
          <w:highlight w:val="none"/>
          <w:lang w:eastAsia="zh-CN"/>
        </w:rPr>
        <w:t>《</w:t>
      </w:r>
      <w:r>
        <w:rPr>
          <w:rFonts w:hint="eastAsia" w:cs="Times New Roman"/>
          <w:color w:val="auto"/>
          <w:highlight w:val="none"/>
        </w:rPr>
        <w:t>排污单位自行监测技术指南</w:t>
      </w:r>
      <w:r>
        <w:rPr>
          <w:rFonts w:hint="eastAsia" w:cs="Times New Roman"/>
          <w:color w:val="auto"/>
          <w:highlight w:val="none"/>
          <w:lang w:eastAsia="zh-CN"/>
        </w:rPr>
        <w:t>》（</w:t>
      </w:r>
      <w:r>
        <w:rPr>
          <w:rFonts w:hint="eastAsia" w:cs="Times New Roman"/>
          <w:color w:val="auto"/>
          <w:highlight w:val="none"/>
        </w:rPr>
        <w:t>总则HJ 819</w:t>
      </w:r>
      <w:r>
        <w:rPr>
          <w:rFonts w:hint="eastAsia" w:cs="Times New Roman"/>
          <w:color w:val="auto"/>
          <w:highlight w:val="none"/>
          <w:lang w:eastAsia="zh-CN"/>
        </w:rPr>
        <w:t>）、</w:t>
      </w:r>
      <w:r>
        <w:rPr>
          <w:rFonts w:hint="eastAsia" w:cs="Times New Roman"/>
          <w:color w:val="auto"/>
          <w:highlight w:val="none"/>
        </w:rPr>
        <w:t xml:space="preserve"> </w:t>
      </w:r>
      <w:r>
        <w:rPr>
          <w:rFonts w:hint="eastAsia" w:cs="Times New Roman"/>
          <w:color w:val="auto"/>
          <w:highlight w:val="none"/>
          <w:lang w:eastAsia="zh-CN"/>
        </w:rPr>
        <w:t>《</w:t>
      </w:r>
      <w:r>
        <w:rPr>
          <w:rFonts w:hint="eastAsia" w:cs="Times New Roman"/>
          <w:color w:val="auto"/>
          <w:highlight w:val="none"/>
        </w:rPr>
        <w:t>环境二噁英类监测技术规范</w:t>
      </w:r>
      <w:r>
        <w:rPr>
          <w:rFonts w:hint="eastAsia" w:cs="Times New Roman"/>
          <w:color w:val="auto"/>
          <w:highlight w:val="none"/>
          <w:lang w:eastAsia="zh-CN"/>
        </w:rPr>
        <w:t>》（</w:t>
      </w:r>
      <w:r>
        <w:rPr>
          <w:rFonts w:cs="Times New Roman"/>
          <w:color w:val="auto"/>
          <w:highlight w:val="none"/>
        </w:rPr>
        <w:t xml:space="preserve">HJ </w:t>
      </w:r>
      <w:r>
        <w:rPr>
          <w:rFonts w:hint="eastAsia" w:cs="Times New Roman"/>
          <w:color w:val="auto"/>
          <w:highlight w:val="none"/>
        </w:rPr>
        <w:t>916</w:t>
      </w:r>
      <w:r>
        <w:rPr>
          <w:rFonts w:hint="eastAsia" w:cs="Times New Roman"/>
          <w:color w:val="auto"/>
          <w:highlight w:val="none"/>
          <w:lang w:eastAsia="zh-CN"/>
        </w:rPr>
        <w:t>）、《</w:t>
      </w:r>
      <w:r>
        <w:rPr>
          <w:rFonts w:hint="eastAsia" w:cs="Times New Roman"/>
          <w:color w:val="auto"/>
          <w:highlight w:val="none"/>
        </w:rPr>
        <w:t>排污许可证申请与核发技术规范 生活垃圾焚烧</w:t>
      </w:r>
      <w:r>
        <w:rPr>
          <w:rFonts w:hint="eastAsia" w:cs="Times New Roman"/>
          <w:color w:val="auto"/>
          <w:highlight w:val="none"/>
          <w:lang w:eastAsia="zh-CN"/>
        </w:rPr>
        <w:t>》（</w:t>
      </w:r>
      <w:r>
        <w:rPr>
          <w:rFonts w:hint="eastAsia" w:cs="Times New Roman"/>
          <w:color w:val="auto"/>
          <w:highlight w:val="none"/>
        </w:rPr>
        <w:t>HJ 1039</w:t>
      </w:r>
      <w:r>
        <w:rPr>
          <w:rFonts w:hint="eastAsia" w:cs="Times New Roman"/>
          <w:color w:val="auto"/>
          <w:highlight w:val="none"/>
          <w:lang w:eastAsia="zh-CN"/>
        </w:rPr>
        <w:t>）、《</w:t>
      </w:r>
      <w:r>
        <w:rPr>
          <w:rFonts w:hint="eastAsia" w:cs="Times New Roman"/>
          <w:color w:val="auto"/>
          <w:highlight w:val="none"/>
        </w:rPr>
        <w:t>排污单位自行监测技术指南 固体废物焚烧</w:t>
      </w:r>
      <w:r>
        <w:rPr>
          <w:rFonts w:hint="eastAsia" w:cs="Times New Roman"/>
          <w:color w:val="auto"/>
          <w:highlight w:val="none"/>
          <w:lang w:eastAsia="zh-CN"/>
        </w:rPr>
        <w:t>》（</w:t>
      </w:r>
      <w:r>
        <w:rPr>
          <w:rFonts w:hint="eastAsia" w:cs="Times New Roman"/>
          <w:color w:val="auto"/>
          <w:highlight w:val="none"/>
        </w:rPr>
        <w:t>HJ 1205</w:t>
      </w:r>
      <w:r>
        <w:rPr>
          <w:rFonts w:hint="eastAsia" w:cs="Times New Roman"/>
          <w:color w:val="auto"/>
          <w:highlight w:val="none"/>
          <w:lang w:eastAsia="zh-CN"/>
        </w:rPr>
        <w:t>）</w:t>
      </w:r>
      <w:bookmarkEnd w:id="87"/>
      <w:r>
        <w:rPr>
          <w:rFonts w:cs="Times New Roman"/>
          <w:color w:val="auto"/>
          <w:highlight w:val="none"/>
        </w:rPr>
        <w:t>等33项环保行业标准</w:t>
      </w:r>
      <w:r>
        <w:rPr>
          <w:rFonts w:hint="eastAsia" w:cs="Times New Roman"/>
          <w:color w:val="auto"/>
          <w:highlight w:val="none"/>
          <w:lang w:eastAsia="zh-CN"/>
        </w:rPr>
        <w:t>。</w:t>
      </w:r>
    </w:p>
    <w:p>
      <w:pPr>
        <w:pStyle w:val="27"/>
        <w:ind w:firstLine="640"/>
        <w:rPr>
          <w:rFonts w:ascii="Times New Roman" w:hAnsi="Times New Roman" w:eastAsia="仿宋"/>
          <w:color w:val="auto"/>
          <w:kern w:val="2"/>
          <w:sz w:val="32"/>
          <w:szCs w:val="22"/>
          <w:highlight w:val="none"/>
        </w:rPr>
      </w:pPr>
      <w:bookmarkStart w:id="92" w:name="_Toc482742933"/>
      <w:bookmarkStart w:id="93" w:name="_Toc482743109"/>
      <w:r>
        <w:rPr>
          <w:rFonts w:hint="eastAsia" w:ascii="Times New Roman" w:hAnsi="Times New Roman" w:eastAsia="仿宋_GB2312"/>
          <w:color w:val="auto"/>
          <w:kern w:val="2"/>
          <w:sz w:val="32"/>
          <w:szCs w:val="22"/>
          <w:highlight w:val="none"/>
          <w:lang w:eastAsia="zh-CN"/>
        </w:rPr>
        <w:t>（</w:t>
      </w:r>
      <w:r>
        <w:rPr>
          <w:rFonts w:hint="eastAsia" w:ascii="Times New Roman" w:hAnsi="Times New Roman" w:eastAsia="仿宋_GB2312"/>
          <w:color w:val="auto"/>
          <w:kern w:val="2"/>
          <w:sz w:val="32"/>
          <w:szCs w:val="22"/>
          <w:highlight w:val="none"/>
          <w:lang w:val="en-US" w:eastAsia="zh-CN"/>
        </w:rPr>
        <w:t>3</w:t>
      </w:r>
      <w:r>
        <w:rPr>
          <w:rFonts w:hint="eastAsia" w:ascii="Times New Roman" w:hAnsi="Times New Roman" w:eastAsia="仿宋_GB2312"/>
          <w:color w:val="auto"/>
          <w:kern w:val="2"/>
          <w:sz w:val="32"/>
          <w:szCs w:val="22"/>
          <w:highlight w:val="none"/>
          <w:lang w:eastAsia="zh-CN"/>
        </w:rPr>
        <w:t>）</w:t>
      </w:r>
      <w:r>
        <w:rPr>
          <w:rFonts w:ascii="Times New Roman" w:hAnsi="Times New Roman" w:eastAsia="仿宋_GB2312"/>
          <w:color w:val="auto"/>
          <w:kern w:val="2"/>
          <w:sz w:val="32"/>
          <w:szCs w:val="22"/>
          <w:highlight w:val="none"/>
        </w:rPr>
        <w:t>《固定污染源颗粒物、烟气（SO</w:t>
      </w:r>
      <w:r>
        <w:rPr>
          <w:rFonts w:ascii="Times New Roman" w:hAnsi="Times New Roman" w:eastAsia="仿宋_GB2312"/>
          <w:color w:val="auto"/>
          <w:kern w:val="2"/>
          <w:sz w:val="32"/>
          <w:szCs w:val="22"/>
          <w:highlight w:val="none"/>
          <w:vertAlign w:val="subscript"/>
        </w:rPr>
        <w:t>2</w:t>
      </w:r>
      <w:r>
        <w:rPr>
          <w:rFonts w:ascii="Times New Roman" w:hAnsi="Times New Roman" w:eastAsia="仿宋_GB2312"/>
          <w:color w:val="auto"/>
          <w:kern w:val="2"/>
          <w:sz w:val="32"/>
          <w:szCs w:val="22"/>
          <w:highlight w:val="none"/>
        </w:rPr>
        <w:t>、NOx）自动监控基站建设技术规范》（DB41/T 1327）、《固定污染源颗粒物、烟气（SO</w:t>
      </w:r>
      <w:r>
        <w:rPr>
          <w:rFonts w:ascii="Times New Roman" w:hAnsi="Times New Roman" w:eastAsia="仿宋_GB2312"/>
          <w:color w:val="auto"/>
          <w:kern w:val="2"/>
          <w:sz w:val="32"/>
          <w:szCs w:val="22"/>
          <w:highlight w:val="none"/>
          <w:vertAlign w:val="subscript"/>
        </w:rPr>
        <w:t>2</w:t>
      </w:r>
      <w:r>
        <w:rPr>
          <w:rFonts w:ascii="Times New Roman" w:hAnsi="Times New Roman" w:eastAsia="仿宋_GB2312"/>
          <w:color w:val="auto"/>
          <w:kern w:val="2"/>
          <w:sz w:val="32"/>
          <w:szCs w:val="22"/>
          <w:highlight w:val="none"/>
        </w:rPr>
        <w:t>、NOx）自动监控基站运行维护技术规范》（DB41/T 1344）、《固定污染源废气 氨排放连续监测技术规范》（DB41/T 2199）等3项河南省地方标准。</w:t>
      </w:r>
    </w:p>
    <w:p>
      <w:pPr>
        <w:pStyle w:val="27"/>
        <w:ind w:firstLine="640"/>
        <w:rPr>
          <w:rFonts w:ascii="Times New Roman" w:hAnsi="Times New Roman" w:eastAsia="仿宋_GB2312"/>
          <w:color w:val="auto"/>
          <w:kern w:val="2"/>
          <w:sz w:val="32"/>
          <w:szCs w:val="22"/>
          <w:highlight w:val="none"/>
        </w:rPr>
      </w:pPr>
      <w:r>
        <w:rPr>
          <w:rFonts w:hint="eastAsia" w:ascii="Times New Roman" w:hAnsi="Times New Roman" w:eastAsia="仿宋_GB2312"/>
          <w:color w:val="auto"/>
          <w:kern w:val="2"/>
          <w:sz w:val="32"/>
          <w:szCs w:val="22"/>
          <w:highlight w:val="none"/>
          <w:lang w:eastAsia="zh-CN"/>
        </w:rPr>
        <w:t>（</w:t>
      </w:r>
      <w:r>
        <w:rPr>
          <w:rFonts w:hint="eastAsia" w:ascii="Times New Roman" w:hAnsi="Times New Roman" w:eastAsia="仿宋_GB2312"/>
          <w:color w:val="auto"/>
          <w:kern w:val="2"/>
          <w:sz w:val="32"/>
          <w:szCs w:val="22"/>
          <w:highlight w:val="none"/>
          <w:lang w:val="en-US" w:eastAsia="zh-CN"/>
        </w:rPr>
        <w:t>4</w:t>
      </w:r>
      <w:r>
        <w:rPr>
          <w:rFonts w:hint="eastAsia" w:ascii="Times New Roman" w:hAnsi="Times New Roman" w:eastAsia="仿宋_GB2312"/>
          <w:color w:val="auto"/>
          <w:kern w:val="2"/>
          <w:sz w:val="32"/>
          <w:szCs w:val="22"/>
          <w:highlight w:val="none"/>
          <w:lang w:eastAsia="zh-CN"/>
        </w:rPr>
        <w:t>）</w:t>
      </w:r>
      <w:r>
        <w:rPr>
          <w:rFonts w:ascii="Times New Roman" w:hAnsi="Times New Roman" w:eastAsia="仿宋_GB2312"/>
          <w:color w:val="auto"/>
          <w:kern w:val="2"/>
          <w:sz w:val="32"/>
          <w:szCs w:val="22"/>
          <w:highlight w:val="none"/>
        </w:rPr>
        <w:t>《污染源自动监控管理办法</w:t>
      </w:r>
      <w:bookmarkStart w:id="94" w:name="_Toc482742938"/>
      <w:bookmarkStart w:id="95" w:name="_Toc482743114"/>
      <w:r>
        <w:rPr>
          <w:rFonts w:ascii="Times New Roman" w:hAnsi="Times New Roman" w:eastAsia="仿宋_GB2312"/>
          <w:color w:val="auto"/>
          <w:kern w:val="2"/>
          <w:sz w:val="32"/>
          <w:szCs w:val="22"/>
          <w:highlight w:val="none"/>
        </w:rPr>
        <w:t>》国家环境保护总局令第28号》、《环境监测管理办法》（国家环境保护总局令第39号）、</w:t>
      </w:r>
      <w:bookmarkEnd w:id="94"/>
      <w:bookmarkEnd w:id="95"/>
      <w:r>
        <w:rPr>
          <w:rFonts w:ascii="Times New Roman" w:hAnsi="Times New Roman" w:eastAsia="仿宋_GB2312"/>
          <w:color w:val="auto"/>
          <w:kern w:val="2"/>
          <w:sz w:val="32"/>
          <w:szCs w:val="22"/>
          <w:highlight w:val="none"/>
        </w:rPr>
        <w:t>《生活垃圾焚烧发电厂自动监测数据应用管理规定》（生态环境部令第10号）等3个管理办法（部令）</w:t>
      </w:r>
      <w:r>
        <w:rPr>
          <w:rFonts w:hint="eastAsia" w:ascii="Times New Roman" w:hAnsi="Times New Roman" w:eastAsia="仿宋_GB2312"/>
          <w:color w:val="auto"/>
          <w:kern w:val="2"/>
          <w:sz w:val="32"/>
          <w:szCs w:val="22"/>
          <w:highlight w:val="none"/>
          <w:lang w:eastAsia="zh-CN"/>
        </w:rPr>
        <w:t>、</w:t>
      </w:r>
      <w:r>
        <w:rPr>
          <w:rFonts w:hint="eastAsia" w:ascii="Times New Roman" w:hAnsi="Times New Roman" w:eastAsia="仿宋_GB2312"/>
          <w:color w:val="auto"/>
          <w:kern w:val="2"/>
          <w:sz w:val="32"/>
          <w:szCs w:val="22"/>
          <w:highlight w:val="none"/>
          <w:lang w:val="en-US" w:eastAsia="zh-CN"/>
        </w:rPr>
        <w:t>《企业环境信息依法披露管理办法》（生态环境部令 第24号）</w:t>
      </w:r>
      <w:r>
        <w:rPr>
          <w:rFonts w:ascii="Times New Roman" w:hAnsi="Times New Roman" w:eastAsia="仿宋_GB2312"/>
          <w:color w:val="auto"/>
          <w:kern w:val="2"/>
          <w:sz w:val="32"/>
          <w:szCs w:val="22"/>
          <w:highlight w:val="none"/>
        </w:rPr>
        <w:t>。</w:t>
      </w:r>
    </w:p>
    <w:bookmarkEnd w:id="92"/>
    <w:bookmarkEnd w:id="93"/>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96" w:name="_Toc19409"/>
      <w:r>
        <w:rPr>
          <w:rFonts w:ascii="Times New Roman" w:hAnsi="Times New Roman" w:eastAsia="仿宋_GB2312" w:cs="Times New Roman"/>
          <w:b/>
          <w:bCs/>
          <w:color w:val="auto"/>
          <w:szCs w:val="22"/>
          <w:highlight w:val="none"/>
        </w:rPr>
        <w:t>5.4</w:t>
      </w:r>
      <w:r>
        <w:rPr>
          <w:rFonts w:hint="eastAsia" w:eastAsia="仿宋_GB2312" w:cs="Times New Roman"/>
          <w:b/>
          <w:bCs/>
          <w:color w:val="auto"/>
          <w:szCs w:val="22"/>
          <w:highlight w:val="none"/>
          <w:lang w:val="en-US" w:eastAsia="zh-CN"/>
        </w:rPr>
        <w:t xml:space="preserve"> </w:t>
      </w:r>
      <w:r>
        <w:rPr>
          <w:rFonts w:ascii="Times New Roman" w:hAnsi="Times New Roman" w:eastAsia="仿宋_GB2312" w:cs="Times New Roman"/>
          <w:b/>
          <w:bCs/>
          <w:color w:val="auto"/>
          <w:szCs w:val="22"/>
          <w:highlight w:val="none"/>
        </w:rPr>
        <w:t>大气污染物排放控制要求确定</w:t>
      </w:r>
      <w:bookmarkEnd w:id="96"/>
    </w:p>
    <w:p>
      <w:pPr>
        <w:ind w:firstLine="640"/>
        <w:rPr>
          <w:rFonts w:cs="Times New Roman"/>
          <w:color w:val="auto"/>
          <w:highlight w:val="none"/>
        </w:rPr>
      </w:pPr>
      <w:r>
        <w:rPr>
          <w:rFonts w:cs="Times New Roman"/>
          <w:color w:val="auto"/>
          <w:highlight w:val="none"/>
        </w:rPr>
        <w:t>大气污染物排放控制要求是本标准的重点，包括有组织大气污染物排放限值、</w:t>
      </w:r>
      <w:r>
        <w:rPr>
          <w:rFonts w:hint="eastAsia" w:cs="Times New Roman"/>
          <w:color w:val="auto"/>
          <w:highlight w:val="none"/>
          <w:lang w:val="en-US" w:eastAsia="zh-CN"/>
        </w:rPr>
        <w:t>非正常工况及</w:t>
      </w:r>
      <w:r>
        <w:rPr>
          <w:rFonts w:cs="Times New Roman"/>
          <w:color w:val="auto"/>
          <w:highlight w:val="none"/>
        </w:rPr>
        <w:t>无组织排放要求等。</w:t>
      </w:r>
    </w:p>
    <w:p>
      <w:pPr>
        <w:pStyle w:val="4"/>
        <w:spacing w:before="156" w:after="156"/>
        <w:ind w:left="0" w:leftChars="0" w:firstLine="0" w:firstLineChars="0"/>
        <w:rPr>
          <w:rFonts w:ascii="Times New Roman" w:hAnsi="Times New Roman" w:eastAsia="仿宋_GB2312" w:cs="Times New Roman"/>
          <w:b/>
          <w:bCs/>
          <w:color w:val="auto"/>
          <w:szCs w:val="22"/>
          <w:highlight w:val="none"/>
          <w:lang w:val="zh-CN"/>
        </w:rPr>
      </w:pPr>
      <w:bookmarkStart w:id="97" w:name="_Toc16397"/>
      <w:bookmarkStart w:id="98" w:name="_Toc14709675"/>
      <w:bookmarkStart w:id="99" w:name="_Toc24112"/>
      <w:bookmarkStart w:id="100" w:name="_Toc10840"/>
      <w:r>
        <w:rPr>
          <w:rFonts w:ascii="Times New Roman" w:hAnsi="Times New Roman" w:eastAsia="仿宋_GB2312" w:cs="Times New Roman"/>
          <w:b/>
          <w:bCs/>
          <w:color w:val="auto"/>
          <w:szCs w:val="22"/>
          <w:highlight w:val="none"/>
          <w:lang w:val="zh-CN"/>
        </w:rPr>
        <w:t>5.4.1</w:t>
      </w:r>
      <w:bookmarkStart w:id="101" w:name="OLE_LINK15"/>
      <w:r>
        <w:rPr>
          <w:rFonts w:ascii="Times New Roman" w:hAnsi="Times New Roman" w:eastAsia="仿宋_GB2312" w:cs="Times New Roman"/>
          <w:b/>
          <w:bCs/>
          <w:color w:val="auto"/>
          <w:szCs w:val="22"/>
          <w:highlight w:val="none"/>
          <w:lang w:val="zh-CN"/>
        </w:rPr>
        <w:t>大气污染物控制</w:t>
      </w:r>
      <w:bookmarkEnd w:id="97"/>
      <w:bookmarkEnd w:id="98"/>
      <w:bookmarkEnd w:id="99"/>
      <w:bookmarkEnd w:id="101"/>
      <w:r>
        <w:rPr>
          <w:rFonts w:ascii="Times New Roman" w:hAnsi="Times New Roman" w:eastAsia="仿宋_GB2312" w:cs="Times New Roman"/>
          <w:b/>
          <w:bCs/>
          <w:color w:val="auto"/>
          <w:szCs w:val="22"/>
          <w:highlight w:val="none"/>
          <w:lang w:val="zh-CN"/>
        </w:rPr>
        <w:t>因子确定</w:t>
      </w:r>
      <w:bookmarkEnd w:id="100"/>
    </w:p>
    <w:p>
      <w:pPr>
        <w:spacing w:line="360" w:lineRule="auto"/>
        <w:ind w:firstLine="640"/>
        <w:rPr>
          <w:rFonts w:cs="Times New Roman"/>
          <w:color w:val="auto"/>
          <w:szCs w:val="32"/>
          <w:highlight w:val="none"/>
        </w:rPr>
      </w:pPr>
      <w:r>
        <w:rPr>
          <w:rFonts w:cs="Times New Roman"/>
          <w:color w:val="auto"/>
          <w:szCs w:val="32"/>
          <w:highlight w:val="none"/>
        </w:rPr>
        <w:t>本标准大气污染物控制因子主要根据以下因素进行筛选确定：一是</w:t>
      </w:r>
      <w:r>
        <w:rPr>
          <w:rFonts w:cs="Times New Roman"/>
          <w:color w:val="auto"/>
          <w:spacing w:val="-2"/>
          <w:kern w:val="0"/>
          <w:szCs w:val="32"/>
          <w:highlight w:val="none"/>
        </w:rPr>
        <w:t>根据</w:t>
      </w:r>
      <w:r>
        <w:rPr>
          <w:rFonts w:cs="Times New Roman"/>
          <w:color w:val="auto"/>
          <w:szCs w:val="32"/>
          <w:highlight w:val="none"/>
        </w:rPr>
        <w:t>生活垃圾焚烧</w:t>
      </w:r>
      <w:r>
        <w:rPr>
          <w:rFonts w:cs="Times New Roman"/>
          <w:color w:val="auto"/>
          <w:spacing w:val="-2"/>
          <w:kern w:val="0"/>
          <w:szCs w:val="32"/>
          <w:highlight w:val="none"/>
        </w:rPr>
        <w:t>产排污特点确定特征污染因子；</w:t>
      </w:r>
      <w:bookmarkStart w:id="102" w:name="_Hlk120539590"/>
      <w:r>
        <w:rPr>
          <w:rFonts w:cs="Times New Roman"/>
          <w:color w:val="auto"/>
          <w:szCs w:val="32"/>
          <w:highlight w:val="none"/>
        </w:rPr>
        <w:t>二是</w:t>
      </w:r>
      <w:bookmarkEnd w:id="102"/>
      <w:r>
        <w:rPr>
          <w:rFonts w:cs="Times New Roman"/>
          <w:color w:val="auto"/>
          <w:spacing w:val="-2"/>
          <w:kern w:val="0"/>
          <w:szCs w:val="32"/>
          <w:highlight w:val="none"/>
        </w:rPr>
        <w:t>结合环境空气质量标准评价因子；</w:t>
      </w:r>
      <w:r>
        <w:rPr>
          <w:rFonts w:cs="Times New Roman"/>
          <w:color w:val="auto"/>
          <w:szCs w:val="32"/>
          <w:highlight w:val="none"/>
        </w:rPr>
        <w:t>三是</w:t>
      </w:r>
      <w:r>
        <w:rPr>
          <w:rFonts w:cs="Times New Roman"/>
          <w:color w:val="auto"/>
          <w:spacing w:val="-2"/>
          <w:kern w:val="0"/>
          <w:szCs w:val="32"/>
          <w:highlight w:val="none"/>
        </w:rPr>
        <w:t>结合主要污染物总量控制指标；</w:t>
      </w:r>
      <w:r>
        <w:rPr>
          <w:rFonts w:cs="Times New Roman"/>
          <w:color w:val="auto"/>
          <w:szCs w:val="32"/>
          <w:highlight w:val="none"/>
        </w:rPr>
        <w:t>四是与现行</w:t>
      </w:r>
      <w:bookmarkStart w:id="103" w:name="_Hlk120014385"/>
      <w:r>
        <w:rPr>
          <w:rFonts w:cs="Times New Roman"/>
          <w:color w:val="auto"/>
          <w:szCs w:val="32"/>
          <w:highlight w:val="none"/>
        </w:rPr>
        <w:t>生活垃圾焚烧</w:t>
      </w:r>
      <w:bookmarkEnd w:id="103"/>
      <w:r>
        <w:rPr>
          <w:rFonts w:cs="Times New Roman"/>
          <w:color w:val="auto"/>
          <w:szCs w:val="32"/>
          <w:highlight w:val="none"/>
        </w:rPr>
        <w:t>大气污染物排放标准相协调，将现行国家标准中限定的主要大气污染物均纳入本标准；五是参考其他省份最新的生活垃圾焚烧地方标准，主要参考了上海、海南、河北、福建、深圳、山东、江苏等</w:t>
      </w:r>
      <w:r>
        <w:rPr>
          <w:rFonts w:hint="eastAsia" w:cs="Times New Roman"/>
          <w:color w:val="auto"/>
          <w:szCs w:val="32"/>
          <w:highlight w:val="none"/>
          <w:lang w:val="en-US" w:eastAsia="zh-CN"/>
        </w:rPr>
        <w:t>地方标准</w:t>
      </w:r>
      <w:r>
        <w:rPr>
          <w:rFonts w:cs="Times New Roman"/>
          <w:color w:val="auto"/>
          <w:szCs w:val="32"/>
          <w:highlight w:val="none"/>
        </w:rPr>
        <w:t>，在国家标准控制因子的基础上，增加氨排放控制因子；六是污染物控制因子要可量化、可监测，</w:t>
      </w:r>
      <w:r>
        <w:rPr>
          <w:rFonts w:cs="Times New Roman"/>
          <w:color w:val="auto"/>
          <w:highlight w:val="none"/>
        </w:rPr>
        <w:t>确定的污染物控制因子必</w:t>
      </w:r>
      <w:r>
        <w:rPr>
          <w:rFonts w:cs="Times New Roman"/>
          <w:color w:val="auto"/>
          <w:szCs w:val="32"/>
          <w:highlight w:val="none"/>
        </w:rPr>
        <w:t>须有国家明确的监测标准方法，保证标准实施可操作性。</w:t>
      </w:r>
    </w:p>
    <w:p>
      <w:pPr>
        <w:ind w:firstLine="704" w:firstLineChars="220"/>
        <w:rPr>
          <w:rFonts w:cs="Times New Roman"/>
          <w:color w:val="auto"/>
          <w:szCs w:val="32"/>
          <w:highlight w:val="none"/>
        </w:rPr>
      </w:pPr>
      <w:r>
        <w:rPr>
          <w:rFonts w:cs="Times New Roman"/>
          <w:color w:val="auto"/>
          <w:szCs w:val="32"/>
          <w:highlight w:val="none"/>
        </w:rPr>
        <w:t>综合考虑以上因素，本标准最终确定的大气污染物控制因子包括颗粒物、二氧化硫、氮氧化物、氯化氢、一氧化碳、汞及其化合物，镉、铊及其化合物，锑、砷、铅、铬、钴、铜、锰、镍及其化合物，二噁英、氨等10项污染控制因子。</w:t>
      </w:r>
    </w:p>
    <w:p>
      <w:pPr>
        <w:pStyle w:val="4"/>
        <w:spacing w:before="156" w:after="156"/>
        <w:ind w:left="0" w:leftChars="0" w:firstLine="0" w:firstLineChars="0"/>
        <w:rPr>
          <w:rFonts w:ascii="Times New Roman" w:hAnsi="Times New Roman" w:eastAsia="仿宋_GB2312" w:cs="Times New Roman"/>
          <w:b/>
          <w:bCs/>
          <w:color w:val="auto"/>
          <w:szCs w:val="22"/>
          <w:highlight w:val="none"/>
          <w:lang w:val="zh-CN"/>
        </w:rPr>
      </w:pPr>
      <w:bookmarkStart w:id="104" w:name="_Toc18673"/>
      <w:bookmarkStart w:id="105" w:name="_Toc19793"/>
      <w:bookmarkStart w:id="106" w:name="_Toc14709676"/>
      <w:bookmarkStart w:id="107" w:name="_Toc4163"/>
      <w:r>
        <w:rPr>
          <w:rFonts w:ascii="Times New Roman" w:hAnsi="Times New Roman" w:eastAsia="仿宋_GB2312" w:cs="Times New Roman"/>
          <w:b/>
          <w:bCs/>
          <w:color w:val="auto"/>
          <w:szCs w:val="22"/>
          <w:highlight w:val="none"/>
          <w:lang w:val="zh-CN"/>
        </w:rPr>
        <w:t>5.4.2 有组织大气污染物排放限值确定</w:t>
      </w:r>
      <w:bookmarkEnd w:id="104"/>
      <w:bookmarkEnd w:id="105"/>
      <w:bookmarkEnd w:id="106"/>
      <w:bookmarkEnd w:id="107"/>
    </w:p>
    <w:p>
      <w:pPr>
        <w:ind w:firstLine="640"/>
        <w:rPr>
          <w:rFonts w:cs="Times New Roman"/>
          <w:color w:val="auto"/>
          <w:highlight w:val="none"/>
        </w:rPr>
      </w:pPr>
      <w:r>
        <w:rPr>
          <w:rFonts w:cs="Times New Roman"/>
          <w:color w:val="auto"/>
          <w:highlight w:val="none"/>
        </w:rPr>
        <w:t>污染物排放限值是污染物排放标准制定的核心，确定标准限值主要参考因素为环境污染防治攻坚战要求、河南省生活垃圾焚烧企业大气污染物污染治理现状和排放浓度水平、污染物协同控制、污染防治技术和经济可行性，并参考参考国家和其他省份相关标准，合理确定各项污染物的排放限值。本标准确定的生活垃圾焚烧行业大气污染物排放限值见表5.4-1。</w:t>
      </w:r>
    </w:p>
    <w:p>
      <w:pPr>
        <w:tabs>
          <w:tab w:val="left" w:pos="360"/>
        </w:tabs>
        <w:ind w:firstLine="0" w:firstLineChars="0"/>
        <w:jc w:val="both"/>
        <w:rPr>
          <w:rFonts w:hint="eastAsia" w:cs="Times New Roman"/>
          <w:b/>
          <w:bCs/>
          <w:color w:val="auto"/>
          <w:szCs w:val="32"/>
          <w:highlight w:val="none"/>
        </w:rPr>
      </w:pPr>
      <w:r>
        <w:rPr>
          <w:rFonts w:cs="Times New Roman"/>
          <w:b/>
          <w:bCs/>
          <w:color w:val="auto"/>
          <w:szCs w:val="32"/>
          <w:highlight w:val="none"/>
        </w:rPr>
        <w:t xml:space="preserve">表5.4-1  </w:t>
      </w:r>
      <w:r>
        <w:rPr>
          <w:rFonts w:hint="eastAsia" w:cs="Times New Roman"/>
          <w:b/>
          <w:bCs/>
          <w:color w:val="auto"/>
          <w:szCs w:val="32"/>
          <w:highlight w:val="none"/>
          <w:lang w:val="en-US" w:eastAsia="zh-CN"/>
        </w:rPr>
        <w:t xml:space="preserve">     生活垃圾焚烧炉烟气中污染物排放限值</w:t>
      </w:r>
    </w:p>
    <w:p>
      <w:pPr>
        <w:tabs>
          <w:tab w:val="center" w:pos="4201"/>
          <w:tab w:val="right" w:leader="dot" w:pos="9298"/>
        </w:tabs>
        <w:ind w:firstLine="480"/>
        <w:jc w:val="right"/>
        <w:rPr>
          <w:rFonts w:cs="Times New Roman"/>
          <w:color w:val="auto"/>
          <w:sz w:val="24"/>
          <w:szCs w:val="24"/>
          <w:highlight w:val="none"/>
        </w:rPr>
      </w:pPr>
      <w:r>
        <w:rPr>
          <w:rFonts w:cs="Times New Roman"/>
          <w:color w:val="auto"/>
          <w:sz w:val="24"/>
          <w:szCs w:val="24"/>
          <w:highlight w:val="none"/>
        </w:rPr>
        <w:t>单位：</w:t>
      </w:r>
      <w:r>
        <w:rPr>
          <w:rFonts w:hint="eastAsia" w:cs="Times New Roman"/>
          <w:color w:val="auto"/>
          <w:sz w:val="24"/>
          <w:szCs w:val="24"/>
          <w:highlight w:val="none"/>
          <w:lang w:val="en-US" w:eastAsia="zh-CN"/>
        </w:rPr>
        <w:t>mg/m</w:t>
      </w:r>
      <w:r>
        <w:rPr>
          <w:rFonts w:hint="eastAsia" w:cs="Times New Roman"/>
          <w:color w:val="auto"/>
          <w:sz w:val="24"/>
          <w:szCs w:val="24"/>
          <w:highlight w:val="none"/>
          <w:vertAlign w:val="superscript"/>
          <w:lang w:val="en-US" w:eastAsia="zh-CN"/>
        </w:rPr>
        <w:t>3</w:t>
      </w:r>
      <w:r>
        <w:rPr>
          <w:rFonts w:cs="Times New Roman"/>
          <w:color w:val="auto"/>
          <w:sz w:val="24"/>
          <w:szCs w:val="24"/>
          <w:highlight w:val="none"/>
        </w:rPr>
        <w:t>（二噁英除外）</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3180"/>
        <w:gridCol w:w="2377"/>
        <w:gridCol w:w="22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767" w:type="dxa"/>
            <w:tcBorders>
              <w:top w:val="single" w:color="auto" w:sz="8" w:space="0"/>
              <w:left w:val="single" w:color="auto" w:sz="8" w:space="0"/>
              <w:bottom w:val="single" w:color="auto" w:sz="4" w:space="0"/>
            </w:tcBorders>
          </w:tcPr>
          <w:p>
            <w:pPr>
              <w:autoSpaceDE w:val="0"/>
              <w:autoSpaceDN w:val="0"/>
              <w:adjustRightInd w:val="0"/>
              <w:ind w:firstLine="0" w:firstLineChars="0"/>
              <w:jc w:val="center"/>
              <w:rPr>
                <w:rFonts w:cs="Times New Roman"/>
                <w:b/>
                <w:bCs/>
                <w:color w:val="auto"/>
                <w:kern w:val="0"/>
                <w:sz w:val="24"/>
                <w:szCs w:val="24"/>
                <w:highlight w:val="none"/>
              </w:rPr>
            </w:pPr>
            <w:r>
              <w:rPr>
                <w:rFonts w:cs="Times New Roman"/>
                <w:b/>
                <w:bCs/>
                <w:color w:val="auto"/>
                <w:kern w:val="0"/>
                <w:sz w:val="24"/>
                <w:szCs w:val="24"/>
                <w:highlight w:val="none"/>
              </w:rPr>
              <w:t>序号</w:t>
            </w:r>
          </w:p>
        </w:tc>
        <w:tc>
          <w:tcPr>
            <w:tcW w:w="3484" w:type="dxa"/>
            <w:tcBorders>
              <w:top w:val="single" w:color="auto" w:sz="8" w:space="0"/>
              <w:left w:val="single" w:color="auto" w:sz="4" w:space="0"/>
              <w:bottom w:val="single" w:color="auto" w:sz="4" w:space="0"/>
            </w:tcBorders>
          </w:tcPr>
          <w:p>
            <w:pPr>
              <w:autoSpaceDE w:val="0"/>
              <w:autoSpaceDN w:val="0"/>
              <w:adjustRightInd w:val="0"/>
              <w:ind w:firstLine="0" w:firstLineChars="0"/>
              <w:jc w:val="center"/>
              <w:rPr>
                <w:rFonts w:cs="Times New Roman"/>
                <w:b/>
                <w:bCs/>
                <w:color w:val="auto"/>
                <w:kern w:val="0"/>
                <w:sz w:val="24"/>
                <w:szCs w:val="24"/>
                <w:highlight w:val="none"/>
              </w:rPr>
            </w:pPr>
            <w:r>
              <w:rPr>
                <w:rFonts w:cs="Times New Roman"/>
                <w:b/>
                <w:bCs/>
                <w:color w:val="auto"/>
                <w:sz w:val="24"/>
                <w:szCs w:val="24"/>
                <w:highlight w:val="none"/>
              </w:rPr>
              <w:t>污染物项目</w:t>
            </w:r>
          </w:p>
        </w:tc>
        <w:tc>
          <w:tcPr>
            <w:tcW w:w="2599" w:type="dxa"/>
            <w:tcBorders>
              <w:top w:val="single" w:color="auto" w:sz="8" w:space="0"/>
              <w:bottom w:val="single" w:color="auto" w:sz="4" w:space="0"/>
              <w:right w:val="single" w:color="auto" w:sz="4" w:space="0"/>
            </w:tcBorders>
          </w:tcPr>
          <w:p>
            <w:pPr>
              <w:autoSpaceDE w:val="0"/>
              <w:autoSpaceDN w:val="0"/>
              <w:adjustRightInd w:val="0"/>
              <w:ind w:firstLine="0" w:firstLineChars="0"/>
              <w:jc w:val="center"/>
              <w:rPr>
                <w:rFonts w:eastAsia="宋体" w:cs="Times New Roman"/>
                <w:b/>
                <w:bCs/>
                <w:color w:val="auto"/>
                <w:kern w:val="0"/>
                <w:sz w:val="24"/>
                <w:szCs w:val="24"/>
                <w:highlight w:val="none"/>
              </w:rPr>
            </w:pPr>
            <w:r>
              <w:rPr>
                <w:rFonts w:cs="Times New Roman"/>
                <w:b/>
                <w:bCs/>
                <w:color w:val="auto"/>
                <w:kern w:val="0"/>
                <w:sz w:val="24"/>
                <w:szCs w:val="24"/>
                <w:highlight w:val="none"/>
              </w:rPr>
              <w:t>排放限值</w:t>
            </w:r>
          </w:p>
        </w:tc>
        <w:tc>
          <w:tcPr>
            <w:tcW w:w="2457" w:type="dxa"/>
            <w:tcBorders>
              <w:top w:val="single" w:color="auto" w:sz="8" w:space="0"/>
              <w:bottom w:val="single" w:color="auto" w:sz="4" w:space="0"/>
              <w:right w:val="single" w:color="auto" w:sz="8" w:space="0"/>
            </w:tcBorders>
          </w:tcPr>
          <w:p>
            <w:pPr>
              <w:autoSpaceDE w:val="0"/>
              <w:autoSpaceDN w:val="0"/>
              <w:adjustRightInd w:val="0"/>
              <w:ind w:firstLine="0" w:firstLineChars="0"/>
              <w:jc w:val="center"/>
              <w:rPr>
                <w:rFonts w:cs="Times New Roman"/>
                <w:b/>
                <w:bCs/>
                <w:color w:val="auto"/>
                <w:kern w:val="0"/>
                <w:sz w:val="24"/>
                <w:szCs w:val="24"/>
                <w:highlight w:val="none"/>
              </w:rPr>
            </w:pPr>
            <w:r>
              <w:rPr>
                <w:rFonts w:cs="Times New Roman"/>
                <w:b/>
                <w:bCs/>
                <w:color w:val="auto"/>
                <w:kern w:val="0"/>
                <w:sz w:val="24"/>
                <w:szCs w:val="24"/>
                <w:highlight w:val="none"/>
              </w:rPr>
              <w:t>取值时间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vMerge w:val="restart"/>
            <w:tcBorders>
              <w:top w:val="single" w:color="auto" w:sz="4" w:space="0"/>
              <w:left w:val="single" w:color="auto" w:sz="8" w:space="0"/>
              <w:bottom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1</w:t>
            </w:r>
          </w:p>
        </w:tc>
        <w:tc>
          <w:tcPr>
            <w:tcW w:w="3484" w:type="dxa"/>
            <w:vMerge w:val="restart"/>
            <w:tcBorders>
              <w:top w:val="single" w:color="auto" w:sz="4" w:space="0"/>
              <w:left w:val="single" w:color="auto" w:sz="4" w:space="0"/>
              <w:bottom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颗粒物</w:t>
            </w:r>
          </w:p>
        </w:tc>
        <w:tc>
          <w:tcPr>
            <w:tcW w:w="2599" w:type="dxa"/>
            <w:tcBorders>
              <w:top w:val="single" w:color="auto" w:sz="4" w:space="0"/>
              <w:bottom w:val="single" w:color="auto" w:sz="4" w:space="0"/>
              <w:right w:val="single" w:color="auto" w:sz="4" w:space="0"/>
            </w:tcBorders>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10</w:t>
            </w:r>
          </w:p>
        </w:tc>
        <w:tc>
          <w:tcPr>
            <w:tcW w:w="2457" w:type="dxa"/>
            <w:tcBorders>
              <w:top w:val="single" w:color="auto" w:sz="4" w:space="0"/>
              <w:bottom w:val="single" w:color="auto" w:sz="4" w:space="0"/>
              <w:right w:val="single" w:color="auto" w:sz="8" w:space="0"/>
            </w:tcBorders>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1小时均值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vMerge w:val="continue"/>
            <w:tcBorders>
              <w:top w:val="single" w:color="auto" w:sz="4" w:space="0"/>
              <w:left w:val="single" w:color="auto" w:sz="8" w:space="0"/>
              <w:bottom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p>
        </w:tc>
        <w:tc>
          <w:tcPr>
            <w:tcW w:w="3484" w:type="dxa"/>
            <w:vMerge w:val="continue"/>
            <w:tcBorders>
              <w:top w:val="single" w:color="auto" w:sz="4" w:space="0"/>
              <w:left w:val="single" w:color="auto" w:sz="4" w:space="0"/>
              <w:bottom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p>
        </w:tc>
        <w:tc>
          <w:tcPr>
            <w:tcW w:w="2599" w:type="dxa"/>
            <w:tcBorders>
              <w:top w:val="single" w:color="auto" w:sz="4" w:space="0"/>
              <w:bottom w:val="single" w:color="auto" w:sz="4" w:space="0"/>
              <w:right w:val="single" w:color="auto" w:sz="4" w:space="0"/>
            </w:tcBorders>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8</w:t>
            </w:r>
          </w:p>
        </w:tc>
        <w:tc>
          <w:tcPr>
            <w:tcW w:w="2457" w:type="dxa"/>
            <w:tcBorders>
              <w:top w:val="single" w:color="auto" w:sz="4" w:space="0"/>
              <w:bottom w:val="single" w:color="auto" w:sz="4" w:space="0"/>
              <w:right w:val="single" w:color="auto" w:sz="8" w:space="0"/>
            </w:tcBorders>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24小时均值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vMerge w:val="restart"/>
            <w:tcBorders>
              <w:top w:val="single" w:color="auto" w:sz="4" w:space="0"/>
              <w:left w:val="single" w:color="auto" w:sz="8" w:space="0"/>
            </w:tcBorders>
            <w:vAlign w:val="center"/>
          </w:tcPr>
          <w:p>
            <w:pPr>
              <w:autoSpaceDE w:val="0"/>
              <w:autoSpaceDN w:val="0"/>
              <w:adjustRightInd w:val="0"/>
              <w:ind w:firstLine="0" w:firstLineChars="0"/>
              <w:jc w:val="center"/>
              <w:rPr>
                <w:rFonts w:eastAsia="宋体" w:cs="Times New Roman"/>
                <w:color w:val="auto"/>
                <w:kern w:val="0"/>
                <w:sz w:val="24"/>
                <w:szCs w:val="24"/>
                <w:highlight w:val="none"/>
              </w:rPr>
            </w:pPr>
            <w:r>
              <w:rPr>
                <w:rFonts w:cs="Times New Roman"/>
                <w:color w:val="auto"/>
                <w:kern w:val="0"/>
                <w:sz w:val="24"/>
                <w:szCs w:val="24"/>
                <w:highlight w:val="none"/>
              </w:rPr>
              <w:t>2</w:t>
            </w:r>
          </w:p>
        </w:tc>
        <w:tc>
          <w:tcPr>
            <w:tcW w:w="3484" w:type="dxa"/>
            <w:vMerge w:val="restart"/>
            <w:tcBorders>
              <w:top w:val="single" w:color="auto" w:sz="4" w:space="0"/>
              <w:left w:val="single" w:color="auto" w:sz="4" w:space="0"/>
            </w:tcBorders>
            <w:vAlign w:val="center"/>
          </w:tcPr>
          <w:p>
            <w:pPr>
              <w:autoSpaceDE w:val="0"/>
              <w:autoSpaceDN w:val="0"/>
              <w:adjustRightInd w:val="0"/>
              <w:ind w:firstLine="0" w:firstLineChars="0"/>
              <w:jc w:val="center"/>
              <w:rPr>
                <w:rFonts w:cs="Times New Roman"/>
                <w:color w:val="auto"/>
                <w:sz w:val="24"/>
                <w:szCs w:val="24"/>
                <w:highlight w:val="none"/>
              </w:rPr>
            </w:pPr>
            <w:r>
              <w:rPr>
                <w:rFonts w:cs="Times New Roman"/>
                <w:color w:val="auto"/>
                <w:kern w:val="0"/>
                <w:sz w:val="24"/>
                <w:szCs w:val="24"/>
                <w:highlight w:val="none"/>
              </w:rPr>
              <w:t>二氧化硫</w:t>
            </w:r>
          </w:p>
        </w:tc>
        <w:tc>
          <w:tcPr>
            <w:tcW w:w="2599" w:type="dxa"/>
            <w:tcBorders>
              <w:top w:val="single" w:color="auto" w:sz="4" w:space="0"/>
              <w:bottom w:val="single" w:color="auto" w:sz="4" w:space="0"/>
              <w:right w:val="single" w:color="auto" w:sz="4" w:space="0"/>
            </w:tcBorders>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35</w:t>
            </w:r>
          </w:p>
        </w:tc>
        <w:tc>
          <w:tcPr>
            <w:tcW w:w="2457" w:type="dxa"/>
            <w:tcBorders>
              <w:top w:val="single" w:color="auto" w:sz="4" w:space="0"/>
              <w:bottom w:val="single" w:color="auto" w:sz="4" w:space="0"/>
              <w:right w:val="single" w:color="auto" w:sz="8" w:space="0"/>
            </w:tcBorders>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1小时均值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vMerge w:val="continue"/>
            <w:tcBorders>
              <w:left w:val="single" w:color="auto" w:sz="8" w:space="0"/>
              <w:bottom w:val="single" w:color="auto" w:sz="4" w:space="0"/>
            </w:tcBorders>
          </w:tcPr>
          <w:p>
            <w:pPr>
              <w:autoSpaceDE w:val="0"/>
              <w:autoSpaceDN w:val="0"/>
              <w:adjustRightInd w:val="0"/>
              <w:ind w:firstLine="0" w:firstLineChars="0"/>
              <w:jc w:val="center"/>
              <w:rPr>
                <w:rFonts w:cs="Times New Roman"/>
                <w:color w:val="auto"/>
                <w:kern w:val="0"/>
                <w:sz w:val="24"/>
                <w:szCs w:val="24"/>
                <w:highlight w:val="none"/>
              </w:rPr>
            </w:pPr>
          </w:p>
        </w:tc>
        <w:tc>
          <w:tcPr>
            <w:tcW w:w="3484" w:type="dxa"/>
            <w:vMerge w:val="continue"/>
            <w:tcBorders>
              <w:left w:val="single" w:color="auto" w:sz="4" w:space="0"/>
              <w:bottom w:val="single" w:color="auto" w:sz="4" w:space="0"/>
            </w:tcBorders>
          </w:tcPr>
          <w:p>
            <w:pPr>
              <w:autoSpaceDE w:val="0"/>
              <w:autoSpaceDN w:val="0"/>
              <w:adjustRightInd w:val="0"/>
              <w:ind w:firstLine="0" w:firstLineChars="0"/>
              <w:jc w:val="center"/>
              <w:rPr>
                <w:rFonts w:cs="Times New Roman"/>
                <w:color w:val="auto"/>
                <w:sz w:val="24"/>
                <w:szCs w:val="24"/>
                <w:highlight w:val="none"/>
              </w:rPr>
            </w:pPr>
          </w:p>
        </w:tc>
        <w:tc>
          <w:tcPr>
            <w:tcW w:w="2599" w:type="dxa"/>
            <w:tcBorders>
              <w:top w:val="single" w:color="auto" w:sz="4" w:space="0"/>
              <w:bottom w:val="single" w:color="auto" w:sz="4" w:space="0"/>
              <w:right w:val="single" w:color="auto" w:sz="4" w:space="0"/>
            </w:tcBorders>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30</w:t>
            </w:r>
          </w:p>
        </w:tc>
        <w:tc>
          <w:tcPr>
            <w:tcW w:w="2457" w:type="dxa"/>
            <w:tcBorders>
              <w:top w:val="single" w:color="auto" w:sz="4" w:space="0"/>
              <w:bottom w:val="single" w:color="auto" w:sz="4" w:space="0"/>
              <w:right w:val="single" w:color="auto" w:sz="8" w:space="0"/>
            </w:tcBorders>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24小时均值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vMerge w:val="restart"/>
            <w:tcBorders>
              <w:top w:val="single" w:color="auto" w:sz="4" w:space="0"/>
              <w:lef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3</w:t>
            </w:r>
          </w:p>
        </w:tc>
        <w:tc>
          <w:tcPr>
            <w:tcW w:w="3484" w:type="dxa"/>
            <w:vMerge w:val="restart"/>
            <w:tcBorders>
              <w:top w:val="single" w:color="auto" w:sz="4" w:space="0"/>
              <w:lef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氮氧化物</w:t>
            </w:r>
          </w:p>
        </w:tc>
        <w:tc>
          <w:tcPr>
            <w:tcW w:w="2599" w:type="dxa"/>
            <w:tcBorders>
              <w:top w:val="single" w:color="auto" w:sz="4" w:space="0"/>
              <w:right w:val="single" w:color="auto" w:sz="4" w:space="0"/>
            </w:tcBorders>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150</w:t>
            </w:r>
          </w:p>
        </w:tc>
        <w:tc>
          <w:tcPr>
            <w:tcW w:w="2457" w:type="dxa"/>
            <w:tcBorders>
              <w:top w:val="single" w:color="auto" w:sz="4" w:space="0"/>
              <w:right w:val="single" w:color="auto" w:sz="8" w:space="0"/>
            </w:tcBorders>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1小时均值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767" w:type="dxa"/>
            <w:vMerge w:val="continue"/>
            <w:tcBorders>
              <w:lef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p>
        </w:tc>
        <w:tc>
          <w:tcPr>
            <w:tcW w:w="3484" w:type="dxa"/>
            <w:vMerge w:val="continue"/>
            <w:tcBorders>
              <w:lef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p>
        </w:tc>
        <w:tc>
          <w:tcPr>
            <w:tcW w:w="2599" w:type="dxa"/>
            <w:tcBorders>
              <w:top w:val="single" w:color="auto" w:sz="4" w:space="0"/>
              <w:right w:val="single" w:color="auto" w:sz="4" w:space="0"/>
            </w:tcBorders>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120</w:t>
            </w:r>
          </w:p>
        </w:tc>
        <w:tc>
          <w:tcPr>
            <w:tcW w:w="2457" w:type="dxa"/>
            <w:tcBorders>
              <w:top w:val="single" w:color="auto" w:sz="4" w:space="0"/>
              <w:righ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24小时均值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vMerge w:val="restart"/>
            <w:tcBorders>
              <w:top w:val="single" w:color="auto" w:sz="4" w:space="0"/>
              <w:lef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4</w:t>
            </w:r>
          </w:p>
        </w:tc>
        <w:tc>
          <w:tcPr>
            <w:tcW w:w="3484" w:type="dxa"/>
            <w:vMerge w:val="restart"/>
            <w:tcBorders>
              <w:lef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氯化氢</w:t>
            </w:r>
          </w:p>
        </w:tc>
        <w:tc>
          <w:tcPr>
            <w:tcW w:w="2599" w:type="dxa"/>
            <w:tcBorders>
              <w:top w:val="single" w:color="auto" w:sz="4" w:space="0"/>
              <w:righ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20</w:t>
            </w:r>
          </w:p>
        </w:tc>
        <w:tc>
          <w:tcPr>
            <w:tcW w:w="2457" w:type="dxa"/>
            <w:tcBorders>
              <w:top w:val="single" w:color="auto" w:sz="4" w:space="0"/>
              <w:righ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1小时均值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vMerge w:val="continue"/>
            <w:tcBorders>
              <w:lef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p>
        </w:tc>
        <w:tc>
          <w:tcPr>
            <w:tcW w:w="3484" w:type="dxa"/>
            <w:vMerge w:val="continue"/>
            <w:tcBorders>
              <w:lef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p>
        </w:tc>
        <w:tc>
          <w:tcPr>
            <w:tcW w:w="2599" w:type="dxa"/>
            <w:tcBorders>
              <w:top w:val="single" w:color="auto" w:sz="4" w:space="0"/>
              <w:righ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10</w:t>
            </w:r>
          </w:p>
        </w:tc>
        <w:tc>
          <w:tcPr>
            <w:tcW w:w="2457" w:type="dxa"/>
            <w:tcBorders>
              <w:top w:val="single" w:color="auto" w:sz="4" w:space="0"/>
              <w:righ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24小时均值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67" w:type="dxa"/>
            <w:vMerge w:val="restart"/>
            <w:tcBorders>
              <w:top w:val="single" w:color="auto" w:sz="4" w:space="0"/>
              <w:lef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5</w:t>
            </w:r>
          </w:p>
        </w:tc>
        <w:tc>
          <w:tcPr>
            <w:tcW w:w="3484" w:type="dxa"/>
            <w:vMerge w:val="restart"/>
            <w:tcBorders>
              <w:lef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sz w:val="24"/>
                <w:szCs w:val="24"/>
                <w:highlight w:val="none"/>
              </w:rPr>
              <w:t>一氧化碳</w:t>
            </w:r>
          </w:p>
        </w:tc>
        <w:tc>
          <w:tcPr>
            <w:tcW w:w="2599" w:type="dxa"/>
            <w:tcBorders>
              <w:top w:val="single" w:color="auto" w:sz="4" w:space="0"/>
              <w:right w:val="single" w:color="auto" w:sz="4" w:space="0"/>
            </w:tcBorders>
            <w:vAlign w:val="center"/>
          </w:tcPr>
          <w:p>
            <w:pPr>
              <w:autoSpaceDE w:val="0"/>
              <w:autoSpaceDN w:val="0"/>
              <w:adjustRightInd w:val="0"/>
              <w:ind w:firstLine="0" w:firstLineChars="0"/>
              <w:jc w:val="center"/>
              <w:rPr>
                <w:rFonts w:eastAsia="宋体" w:cs="Times New Roman"/>
                <w:color w:val="auto"/>
                <w:kern w:val="0"/>
                <w:sz w:val="24"/>
                <w:szCs w:val="24"/>
                <w:highlight w:val="none"/>
              </w:rPr>
            </w:pPr>
            <w:r>
              <w:rPr>
                <w:rFonts w:cs="Times New Roman"/>
                <w:color w:val="auto"/>
                <w:kern w:val="0"/>
                <w:sz w:val="24"/>
                <w:szCs w:val="24"/>
                <w:highlight w:val="none"/>
              </w:rPr>
              <w:t>100</w:t>
            </w:r>
          </w:p>
        </w:tc>
        <w:tc>
          <w:tcPr>
            <w:tcW w:w="2457" w:type="dxa"/>
            <w:tcBorders>
              <w:top w:val="single" w:color="auto" w:sz="4" w:space="0"/>
              <w:righ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1小时均值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vMerge w:val="continue"/>
            <w:tcBorders>
              <w:lef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p>
        </w:tc>
        <w:tc>
          <w:tcPr>
            <w:tcW w:w="3484" w:type="dxa"/>
            <w:vMerge w:val="continue"/>
            <w:tcBorders>
              <w:lef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p>
        </w:tc>
        <w:tc>
          <w:tcPr>
            <w:tcW w:w="2599" w:type="dxa"/>
            <w:tcBorders>
              <w:top w:val="single" w:color="auto" w:sz="4" w:space="0"/>
              <w:right w:val="single" w:color="auto" w:sz="4" w:space="0"/>
            </w:tcBorders>
            <w:vAlign w:val="center"/>
          </w:tcPr>
          <w:p>
            <w:pPr>
              <w:autoSpaceDE w:val="0"/>
              <w:autoSpaceDN w:val="0"/>
              <w:adjustRightInd w:val="0"/>
              <w:ind w:firstLine="0" w:firstLineChars="0"/>
              <w:jc w:val="center"/>
              <w:rPr>
                <w:rFonts w:eastAsia="宋体" w:cs="Times New Roman"/>
                <w:color w:val="auto"/>
                <w:kern w:val="0"/>
                <w:sz w:val="24"/>
                <w:szCs w:val="24"/>
                <w:highlight w:val="none"/>
              </w:rPr>
            </w:pPr>
            <w:r>
              <w:rPr>
                <w:rFonts w:cs="Times New Roman"/>
                <w:color w:val="auto"/>
                <w:kern w:val="0"/>
                <w:sz w:val="24"/>
                <w:szCs w:val="24"/>
                <w:highlight w:val="none"/>
              </w:rPr>
              <w:t>80</w:t>
            </w:r>
          </w:p>
        </w:tc>
        <w:tc>
          <w:tcPr>
            <w:tcW w:w="2457" w:type="dxa"/>
            <w:tcBorders>
              <w:top w:val="single" w:color="auto" w:sz="4" w:space="0"/>
              <w:righ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24小时均值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767" w:type="dxa"/>
            <w:tcBorders>
              <w:top w:val="single" w:color="auto" w:sz="4" w:space="0"/>
              <w:lef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6</w:t>
            </w:r>
          </w:p>
        </w:tc>
        <w:tc>
          <w:tcPr>
            <w:tcW w:w="3484" w:type="dxa"/>
            <w:tcBorders>
              <w:lef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sz w:val="24"/>
                <w:szCs w:val="24"/>
                <w:highlight w:val="none"/>
              </w:rPr>
              <w:t>汞及其化合物（以Hg计）</w:t>
            </w:r>
          </w:p>
        </w:tc>
        <w:tc>
          <w:tcPr>
            <w:tcW w:w="2599" w:type="dxa"/>
            <w:tcBorders>
              <w:top w:val="single" w:color="auto" w:sz="4" w:space="0"/>
              <w:righ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0.02</w:t>
            </w:r>
          </w:p>
        </w:tc>
        <w:tc>
          <w:tcPr>
            <w:tcW w:w="2457" w:type="dxa"/>
            <w:tcBorders>
              <w:top w:val="single" w:color="auto" w:sz="4" w:space="0"/>
              <w:righ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测定均值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767" w:type="dxa"/>
            <w:tcBorders>
              <w:top w:val="single" w:color="auto" w:sz="4" w:space="0"/>
              <w:lef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7</w:t>
            </w:r>
          </w:p>
        </w:tc>
        <w:tc>
          <w:tcPr>
            <w:tcW w:w="3484" w:type="dxa"/>
            <w:tcBorders>
              <w:lef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sz w:val="24"/>
                <w:szCs w:val="24"/>
                <w:highlight w:val="none"/>
              </w:rPr>
              <w:t>镉、铊及其化合物（以Cd+Tl计）</w:t>
            </w:r>
          </w:p>
        </w:tc>
        <w:tc>
          <w:tcPr>
            <w:tcW w:w="2599" w:type="dxa"/>
            <w:tcBorders>
              <w:top w:val="single" w:color="auto" w:sz="4" w:space="0"/>
              <w:righ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0.03</w:t>
            </w:r>
          </w:p>
        </w:tc>
        <w:tc>
          <w:tcPr>
            <w:tcW w:w="2457" w:type="dxa"/>
            <w:tcBorders>
              <w:top w:val="single" w:color="auto" w:sz="4" w:space="0"/>
              <w:righ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测定均值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jc w:val="center"/>
        </w:trPr>
        <w:tc>
          <w:tcPr>
            <w:tcW w:w="767" w:type="dxa"/>
            <w:tcBorders>
              <w:top w:val="single" w:color="auto" w:sz="4" w:space="0"/>
              <w:lef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8</w:t>
            </w:r>
          </w:p>
        </w:tc>
        <w:tc>
          <w:tcPr>
            <w:tcW w:w="3484" w:type="dxa"/>
            <w:tcBorders>
              <w:lef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sz w:val="24"/>
                <w:szCs w:val="24"/>
                <w:highlight w:val="none"/>
              </w:rPr>
              <w:t>锑、砷、铅、铬、钴、铜、锰、镍及其化合物（以Sb+As+Pb+Cr+Co+Cu+Mn+Ni计）</w:t>
            </w:r>
          </w:p>
        </w:tc>
        <w:tc>
          <w:tcPr>
            <w:tcW w:w="2599" w:type="dxa"/>
            <w:tcBorders>
              <w:top w:val="single" w:color="auto" w:sz="4" w:space="0"/>
              <w:righ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0.3</w:t>
            </w:r>
          </w:p>
        </w:tc>
        <w:tc>
          <w:tcPr>
            <w:tcW w:w="2457" w:type="dxa"/>
            <w:tcBorders>
              <w:top w:val="single" w:color="auto" w:sz="4" w:space="0"/>
              <w:righ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测定均值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tcBorders>
              <w:top w:val="single" w:color="auto" w:sz="4" w:space="0"/>
              <w:lef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9</w:t>
            </w:r>
          </w:p>
        </w:tc>
        <w:tc>
          <w:tcPr>
            <w:tcW w:w="3484" w:type="dxa"/>
            <w:tcBorders>
              <w:left w:val="single" w:color="auto" w:sz="4" w:space="0"/>
            </w:tcBorders>
            <w:vAlign w:val="center"/>
          </w:tcPr>
          <w:p>
            <w:pPr>
              <w:autoSpaceDE w:val="0"/>
              <w:autoSpaceDN w:val="0"/>
              <w:adjustRightInd w:val="0"/>
              <w:ind w:firstLine="0" w:firstLineChars="0"/>
              <w:jc w:val="center"/>
              <w:rPr>
                <w:rFonts w:eastAsia="宋体" w:cs="Times New Roman"/>
                <w:color w:val="auto"/>
                <w:kern w:val="0"/>
                <w:sz w:val="24"/>
                <w:szCs w:val="24"/>
                <w:highlight w:val="none"/>
              </w:rPr>
            </w:pPr>
            <w:r>
              <w:rPr>
                <w:rFonts w:cs="Times New Roman"/>
                <w:color w:val="auto"/>
                <w:sz w:val="24"/>
                <w:szCs w:val="24"/>
                <w:highlight w:val="none"/>
              </w:rPr>
              <w:t>二噁英类</w:t>
            </w:r>
          </w:p>
        </w:tc>
        <w:tc>
          <w:tcPr>
            <w:tcW w:w="2599" w:type="dxa"/>
            <w:tcBorders>
              <w:top w:val="single" w:color="auto" w:sz="4" w:space="0"/>
              <w:righ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0.1</w:t>
            </w:r>
            <w:r>
              <w:rPr>
                <w:rFonts w:cs="Times New Roman"/>
                <w:color w:val="auto"/>
                <w:sz w:val="24"/>
                <w:szCs w:val="24"/>
                <w:highlight w:val="none"/>
                <w:vertAlign w:val="superscript"/>
              </w:rPr>
              <w:t>a</w:t>
            </w:r>
          </w:p>
        </w:tc>
        <w:tc>
          <w:tcPr>
            <w:tcW w:w="2457" w:type="dxa"/>
            <w:tcBorders>
              <w:top w:val="single" w:color="auto" w:sz="4" w:space="0"/>
              <w:righ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测定均值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vMerge w:val="restart"/>
            <w:tcBorders>
              <w:top w:val="single" w:color="auto" w:sz="4" w:space="0"/>
              <w:lef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10</w:t>
            </w:r>
          </w:p>
        </w:tc>
        <w:tc>
          <w:tcPr>
            <w:tcW w:w="3484" w:type="dxa"/>
            <w:vMerge w:val="restart"/>
            <w:tcBorders>
              <w:left w:val="single" w:color="auto" w:sz="4" w:space="0"/>
            </w:tcBorders>
            <w:vAlign w:val="center"/>
          </w:tcPr>
          <w:p>
            <w:pPr>
              <w:autoSpaceDE w:val="0"/>
              <w:autoSpaceDN w:val="0"/>
              <w:adjustRightInd w:val="0"/>
              <w:ind w:firstLine="0" w:firstLineChars="0"/>
              <w:jc w:val="center"/>
              <w:rPr>
                <w:rFonts w:eastAsia="宋体" w:cs="Times New Roman"/>
                <w:color w:val="auto"/>
                <w:kern w:val="0"/>
                <w:sz w:val="24"/>
                <w:szCs w:val="24"/>
                <w:highlight w:val="none"/>
              </w:rPr>
            </w:pPr>
            <w:r>
              <w:rPr>
                <w:rFonts w:cs="Times New Roman"/>
                <w:color w:val="auto"/>
                <w:kern w:val="0"/>
                <w:sz w:val="24"/>
                <w:szCs w:val="24"/>
                <w:highlight w:val="none"/>
              </w:rPr>
              <w:t>氨</w:t>
            </w:r>
          </w:p>
        </w:tc>
        <w:tc>
          <w:tcPr>
            <w:tcW w:w="2599" w:type="dxa"/>
            <w:tcBorders>
              <w:top w:val="single" w:color="auto" w:sz="4" w:space="0"/>
              <w:right w:val="single" w:color="auto" w:sz="4" w:space="0"/>
            </w:tcBorders>
            <w:vAlign w:val="center"/>
          </w:tcPr>
          <w:p>
            <w:pPr>
              <w:autoSpaceDE w:val="0"/>
              <w:autoSpaceDN w:val="0"/>
              <w:adjustRightInd w:val="0"/>
              <w:ind w:firstLine="0" w:firstLineChars="0"/>
              <w:jc w:val="center"/>
              <w:rPr>
                <w:rFonts w:eastAsia="宋体" w:cs="Times New Roman"/>
                <w:color w:val="auto"/>
                <w:kern w:val="0"/>
                <w:sz w:val="24"/>
                <w:szCs w:val="24"/>
                <w:highlight w:val="none"/>
              </w:rPr>
            </w:pPr>
            <w:r>
              <w:rPr>
                <w:rFonts w:cs="Times New Roman"/>
                <w:color w:val="auto"/>
                <w:kern w:val="0"/>
                <w:sz w:val="24"/>
                <w:szCs w:val="24"/>
                <w:highlight w:val="none"/>
              </w:rPr>
              <w:t>12</w:t>
            </w:r>
            <w:r>
              <w:rPr>
                <w:rFonts w:cs="Times New Roman"/>
                <w:color w:val="auto"/>
                <w:sz w:val="24"/>
                <w:szCs w:val="24"/>
                <w:highlight w:val="none"/>
                <w:vertAlign w:val="superscript"/>
              </w:rPr>
              <w:t>b</w:t>
            </w:r>
          </w:p>
        </w:tc>
        <w:tc>
          <w:tcPr>
            <w:tcW w:w="2457" w:type="dxa"/>
            <w:tcBorders>
              <w:top w:val="single" w:color="auto" w:sz="4" w:space="0"/>
              <w:righ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1小时均值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vMerge w:val="continue"/>
            <w:tcBorders>
              <w:lef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p>
        </w:tc>
        <w:tc>
          <w:tcPr>
            <w:tcW w:w="3484" w:type="dxa"/>
            <w:vMerge w:val="continue"/>
            <w:tcBorders>
              <w:lef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p>
        </w:tc>
        <w:tc>
          <w:tcPr>
            <w:tcW w:w="2599" w:type="dxa"/>
            <w:tcBorders>
              <w:top w:val="single" w:color="auto" w:sz="4" w:space="0"/>
              <w:right w:val="single" w:color="auto" w:sz="4"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8</w:t>
            </w:r>
            <w:r>
              <w:rPr>
                <w:rFonts w:cs="Times New Roman"/>
                <w:color w:val="auto"/>
                <w:sz w:val="24"/>
                <w:szCs w:val="24"/>
                <w:highlight w:val="none"/>
                <w:vertAlign w:val="superscript"/>
              </w:rPr>
              <w:t>b</w:t>
            </w:r>
          </w:p>
        </w:tc>
        <w:tc>
          <w:tcPr>
            <w:tcW w:w="2457" w:type="dxa"/>
            <w:tcBorders>
              <w:top w:val="single" w:color="auto" w:sz="4" w:space="0"/>
              <w:right w:val="single" w:color="auto" w:sz="8" w:space="0"/>
            </w:tcBorders>
            <w:vAlign w:val="center"/>
          </w:tcPr>
          <w:p>
            <w:pPr>
              <w:autoSpaceDE w:val="0"/>
              <w:autoSpaceDN w:val="0"/>
              <w:adjustRightInd w:val="0"/>
              <w:ind w:firstLine="0" w:firstLineChars="0"/>
              <w:jc w:val="center"/>
              <w:rPr>
                <w:rFonts w:cs="Times New Roman"/>
                <w:color w:val="auto"/>
                <w:kern w:val="0"/>
                <w:sz w:val="24"/>
                <w:szCs w:val="24"/>
                <w:highlight w:val="none"/>
              </w:rPr>
            </w:pPr>
            <w:r>
              <w:rPr>
                <w:rFonts w:cs="Times New Roman"/>
                <w:color w:val="auto"/>
                <w:kern w:val="0"/>
                <w:sz w:val="24"/>
                <w:szCs w:val="24"/>
                <w:highlight w:val="none"/>
              </w:rPr>
              <w:t>24小时均值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07" w:type="dxa"/>
            <w:gridSpan w:val="4"/>
            <w:tcBorders>
              <w:left w:val="single" w:color="auto" w:sz="8" w:space="0"/>
              <w:bottom w:val="single" w:color="auto" w:sz="8" w:space="0"/>
              <w:right w:val="single" w:color="auto" w:sz="8" w:space="0"/>
            </w:tcBorders>
          </w:tcPr>
          <w:p>
            <w:pPr>
              <w:autoSpaceDE w:val="0"/>
              <w:autoSpaceDN w:val="0"/>
              <w:adjustRightInd w:val="0"/>
              <w:ind w:firstLine="0" w:firstLineChars="0"/>
              <w:jc w:val="left"/>
              <w:rPr>
                <w:rFonts w:cs="Times New Roman"/>
                <w:color w:val="auto"/>
                <w:sz w:val="24"/>
                <w:szCs w:val="24"/>
                <w:highlight w:val="none"/>
              </w:rPr>
            </w:pPr>
            <w:r>
              <w:rPr>
                <w:rFonts w:cs="Times New Roman"/>
                <w:color w:val="auto"/>
                <w:sz w:val="24"/>
                <w:szCs w:val="24"/>
                <w:highlight w:val="none"/>
                <w:vertAlign w:val="superscript"/>
              </w:rPr>
              <w:t xml:space="preserve">a </w:t>
            </w:r>
            <w:r>
              <w:rPr>
                <w:rFonts w:cs="Times New Roman"/>
                <w:color w:val="auto"/>
                <w:sz w:val="24"/>
                <w:szCs w:val="24"/>
                <w:highlight w:val="none"/>
              </w:rPr>
              <w:t>单位为ng TEQ/m</w:t>
            </w:r>
            <w:r>
              <w:rPr>
                <w:rFonts w:cs="Times New Roman"/>
                <w:color w:val="auto"/>
                <w:sz w:val="24"/>
                <w:szCs w:val="24"/>
                <w:highlight w:val="none"/>
                <w:vertAlign w:val="superscript"/>
              </w:rPr>
              <w:t>3</w:t>
            </w:r>
            <w:r>
              <w:rPr>
                <w:rFonts w:cs="Times New Roman"/>
                <w:color w:val="auto"/>
                <w:sz w:val="24"/>
                <w:szCs w:val="24"/>
                <w:highlight w:val="none"/>
              </w:rPr>
              <w:t>。</w:t>
            </w:r>
          </w:p>
          <w:p>
            <w:pPr>
              <w:autoSpaceDE w:val="0"/>
              <w:autoSpaceDN w:val="0"/>
              <w:adjustRightInd w:val="0"/>
              <w:ind w:firstLine="0" w:firstLineChars="0"/>
              <w:jc w:val="left"/>
              <w:rPr>
                <w:rFonts w:cs="Times New Roman"/>
                <w:color w:val="auto"/>
                <w:sz w:val="24"/>
                <w:szCs w:val="24"/>
                <w:highlight w:val="none"/>
              </w:rPr>
            </w:pPr>
            <w:r>
              <w:rPr>
                <w:rFonts w:cs="Times New Roman"/>
                <w:color w:val="auto"/>
                <w:sz w:val="24"/>
                <w:szCs w:val="24"/>
                <w:highlight w:val="none"/>
                <w:vertAlign w:val="superscript"/>
              </w:rPr>
              <w:t xml:space="preserve">b </w:t>
            </w:r>
            <w:r>
              <w:rPr>
                <w:rFonts w:cs="Times New Roman"/>
                <w:color w:val="auto"/>
                <w:sz w:val="24"/>
                <w:szCs w:val="24"/>
                <w:highlight w:val="none"/>
              </w:rPr>
              <w:t>适用于</w:t>
            </w:r>
            <w:r>
              <w:rPr>
                <w:rFonts w:hint="eastAsia" w:cs="Times New Roman"/>
                <w:color w:val="auto"/>
                <w:sz w:val="24"/>
                <w:szCs w:val="24"/>
                <w:highlight w:val="none"/>
                <w:lang w:val="en-US" w:eastAsia="zh-CN"/>
              </w:rPr>
              <w:t>烟气处理使用</w:t>
            </w:r>
            <w:r>
              <w:rPr>
                <w:rFonts w:cs="Times New Roman"/>
                <w:color w:val="auto"/>
                <w:sz w:val="24"/>
                <w:szCs w:val="24"/>
                <w:highlight w:val="none"/>
              </w:rPr>
              <w:t>氨水、尿素等含氨物质。</w:t>
            </w:r>
          </w:p>
        </w:tc>
      </w:tr>
    </w:tbl>
    <w:p>
      <w:pPr>
        <w:ind w:firstLine="640"/>
        <w:rPr>
          <w:rFonts w:cs="Times New Roman"/>
          <w:color w:val="auto"/>
          <w:highlight w:val="none"/>
        </w:rPr>
      </w:pPr>
    </w:p>
    <w:p>
      <w:pPr>
        <w:ind w:left="0" w:leftChars="0" w:firstLine="0" w:firstLineChars="0"/>
        <w:rPr>
          <w:rFonts w:cs="Times New Roman"/>
          <w:b/>
          <w:bCs/>
          <w:color w:val="auto"/>
          <w:highlight w:val="none"/>
        </w:rPr>
      </w:pPr>
      <w:r>
        <w:rPr>
          <w:rFonts w:hint="eastAsia" w:cs="Times New Roman"/>
          <w:b/>
          <w:bCs/>
          <w:color w:val="auto"/>
          <w:highlight w:val="none"/>
          <w:lang w:val="en-US" w:eastAsia="zh-CN"/>
        </w:rPr>
        <w:t xml:space="preserve">5.4.2.1 </w:t>
      </w:r>
      <w:r>
        <w:rPr>
          <w:rFonts w:cs="Times New Roman"/>
          <w:b/>
          <w:bCs/>
          <w:color w:val="auto"/>
          <w:highlight w:val="none"/>
        </w:rPr>
        <w:t>颗粒物排放限值确定</w:t>
      </w:r>
    </w:p>
    <w:p>
      <w:pPr>
        <w:pStyle w:val="25"/>
        <w:ind w:firstLine="704" w:firstLineChars="220"/>
        <w:jc w:val="both"/>
        <w:rPr>
          <w:rFonts w:eastAsia="仿宋_GB2312"/>
          <w:color w:val="auto"/>
          <w:kern w:val="2"/>
          <w:sz w:val="32"/>
          <w:szCs w:val="22"/>
          <w:highlight w:val="none"/>
        </w:rPr>
      </w:pPr>
      <w:r>
        <w:rPr>
          <w:rFonts w:eastAsia="仿宋_GB2312"/>
          <w:color w:val="auto"/>
          <w:kern w:val="2"/>
          <w:sz w:val="32"/>
          <w:szCs w:val="22"/>
          <w:highlight w:val="none"/>
        </w:rPr>
        <w:t>颗粒物的处理技术已十分成熟，目前应用最广泛的是袋式除尘器，能够有效保证99.9%的除尘效率，河南省生活垃圾焚烧企业全部使用袋式除尘器。根据现场监测和数据收集情况，除尘器正常工作状态下，</w:t>
      </w:r>
      <w:r>
        <w:rPr>
          <w:rFonts w:hint="eastAsia" w:eastAsia="仿宋_GB2312"/>
          <w:color w:val="auto"/>
          <w:kern w:val="2"/>
          <w:sz w:val="32"/>
          <w:szCs w:val="22"/>
          <w:highlight w:val="none"/>
          <w:lang w:val="en-US" w:eastAsia="zh-CN"/>
        </w:rPr>
        <w:t>颗粒物</w:t>
      </w:r>
      <w:r>
        <w:rPr>
          <w:rFonts w:eastAsia="仿宋_GB2312"/>
          <w:color w:val="auto"/>
          <w:kern w:val="2"/>
          <w:sz w:val="32"/>
          <w:szCs w:val="22"/>
          <w:highlight w:val="none"/>
        </w:rPr>
        <w:t>手工监测数据小时均值低于</w:t>
      </w:r>
      <w:r>
        <w:rPr>
          <w:rFonts w:hint="eastAsia" w:eastAsia="仿宋_GB2312"/>
          <w:color w:val="auto"/>
          <w:kern w:val="2"/>
          <w:sz w:val="32"/>
          <w:szCs w:val="22"/>
          <w:highlight w:val="none"/>
          <w:lang w:val="en-US" w:eastAsia="zh-CN"/>
        </w:rPr>
        <w:t>10</w:t>
      </w:r>
      <w:r>
        <w:rPr>
          <w:rFonts w:eastAsia="仿宋_GB2312"/>
          <w:color w:val="auto"/>
          <w:kern w:val="2"/>
          <w:sz w:val="32"/>
          <w:szCs w:val="22"/>
          <w:highlight w:val="none"/>
        </w:rPr>
        <w:t xml:space="preserve"> mg/m</w:t>
      </w:r>
      <w:r>
        <w:rPr>
          <w:rFonts w:eastAsia="仿宋_GB2312"/>
          <w:color w:val="auto"/>
          <w:kern w:val="2"/>
          <w:sz w:val="32"/>
          <w:szCs w:val="22"/>
          <w:highlight w:val="none"/>
          <w:vertAlign w:val="superscript"/>
        </w:rPr>
        <w:t>3</w:t>
      </w:r>
      <w:r>
        <w:rPr>
          <w:rFonts w:eastAsia="仿宋_GB2312"/>
          <w:color w:val="auto"/>
          <w:kern w:val="2"/>
          <w:sz w:val="32"/>
          <w:szCs w:val="22"/>
          <w:highlight w:val="none"/>
        </w:rPr>
        <w:t>，</w:t>
      </w:r>
      <w:r>
        <w:rPr>
          <w:rFonts w:hint="eastAsia" w:eastAsia="仿宋_GB2312"/>
          <w:color w:val="auto"/>
          <w:kern w:val="2"/>
          <w:sz w:val="32"/>
          <w:szCs w:val="22"/>
          <w:highlight w:val="none"/>
          <w:lang w:val="en-US" w:eastAsia="zh-CN"/>
        </w:rPr>
        <w:t>在线监控数据</w:t>
      </w:r>
      <w:r>
        <w:rPr>
          <w:rFonts w:eastAsia="仿宋_GB2312"/>
          <w:color w:val="auto"/>
          <w:kern w:val="2"/>
          <w:sz w:val="32"/>
          <w:szCs w:val="22"/>
          <w:highlight w:val="none"/>
        </w:rPr>
        <w:t>颗粒物小时浓度达到10 mg/m</w:t>
      </w:r>
      <w:r>
        <w:rPr>
          <w:rFonts w:eastAsia="仿宋_GB2312"/>
          <w:color w:val="auto"/>
          <w:kern w:val="2"/>
          <w:sz w:val="32"/>
          <w:szCs w:val="22"/>
          <w:highlight w:val="none"/>
          <w:vertAlign w:val="superscript"/>
        </w:rPr>
        <w:t>3</w:t>
      </w:r>
      <w:bookmarkStart w:id="108" w:name="_Hlk120548445"/>
      <w:r>
        <w:rPr>
          <w:rFonts w:eastAsia="仿宋_GB2312"/>
          <w:color w:val="auto"/>
          <w:kern w:val="2"/>
          <w:sz w:val="32"/>
          <w:szCs w:val="22"/>
          <w:highlight w:val="none"/>
        </w:rPr>
        <w:t>以下</w:t>
      </w:r>
      <w:bookmarkEnd w:id="108"/>
      <w:bookmarkStart w:id="109" w:name="_Hlk120548582"/>
      <w:r>
        <w:rPr>
          <w:rFonts w:eastAsia="仿宋_GB2312"/>
          <w:color w:val="auto"/>
          <w:kern w:val="2"/>
          <w:sz w:val="32"/>
          <w:szCs w:val="22"/>
          <w:highlight w:val="none"/>
        </w:rPr>
        <w:t>的</w:t>
      </w:r>
      <w:bookmarkStart w:id="110" w:name="_Hlk120550323"/>
      <w:r>
        <w:rPr>
          <w:rFonts w:hint="eastAsia" w:eastAsia="仿宋_GB2312"/>
          <w:color w:val="auto"/>
          <w:kern w:val="2"/>
          <w:sz w:val="32"/>
          <w:szCs w:val="22"/>
          <w:highlight w:val="none"/>
          <w:lang w:val="en-US" w:eastAsia="zh-CN"/>
        </w:rPr>
        <w:t>比例为</w:t>
      </w:r>
      <w:r>
        <w:rPr>
          <w:rFonts w:eastAsia="仿宋_GB2312"/>
          <w:color w:val="auto"/>
          <w:kern w:val="2"/>
          <w:sz w:val="32"/>
          <w:szCs w:val="22"/>
          <w:highlight w:val="none"/>
        </w:rPr>
        <w:t>98%</w:t>
      </w:r>
      <w:bookmarkEnd w:id="110"/>
      <w:r>
        <w:rPr>
          <w:rFonts w:eastAsia="仿宋_GB2312"/>
          <w:color w:val="auto"/>
          <w:kern w:val="2"/>
          <w:sz w:val="32"/>
          <w:szCs w:val="22"/>
          <w:highlight w:val="none"/>
        </w:rPr>
        <w:t>，</w:t>
      </w:r>
      <w:bookmarkEnd w:id="109"/>
      <w:r>
        <w:rPr>
          <w:rFonts w:hint="eastAsia" w:eastAsia="仿宋_GB2312"/>
          <w:color w:val="auto"/>
          <w:kern w:val="2"/>
          <w:sz w:val="32"/>
          <w:szCs w:val="22"/>
          <w:highlight w:val="none"/>
          <w:lang w:val="en-US" w:eastAsia="zh-CN"/>
        </w:rPr>
        <w:t>在线监控</w:t>
      </w:r>
      <w:r>
        <w:rPr>
          <w:rFonts w:eastAsia="仿宋_GB2312"/>
          <w:color w:val="auto"/>
          <w:kern w:val="2"/>
          <w:sz w:val="32"/>
          <w:szCs w:val="22"/>
          <w:highlight w:val="none"/>
        </w:rPr>
        <w:t>日均值浓度达到8mg/m</w:t>
      </w:r>
      <w:r>
        <w:rPr>
          <w:rFonts w:eastAsia="仿宋_GB2312"/>
          <w:color w:val="auto"/>
          <w:kern w:val="2"/>
          <w:sz w:val="32"/>
          <w:szCs w:val="22"/>
          <w:highlight w:val="none"/>
          <w:vertAlign w:val="superscript"/>
        </w:rPr>
        <w:t>3</w:t>
      </w:r>
      <w:r>
        <w:rPr>
          <w:rFonts w:eastAsia="仿宋_GB2312"/>
          <w:color w:val="auto"/>
          <w:kern w:val="2"/>
          <w:sz w:val="32"/>
          <w:szCs w:val="22"/>
          <w:highlight w:val="none"/>
        </w:rPr>
        <w:t>以下的</w:t>
      </w:r>
      <w:r>
        <w:rPr>
          <w:rFonts w:hint="eastAsia" w:eastAsia="仿宋_GB2312"/>
          <w:color w:val="auto"/>
          <w:kern w:val="2"/>
          <w:sz w:val="32"/>
          <w:szCs w:val="22"/>
          <w:highlight w:val="none"/>
          <w:lang w:val="en-US" w:eastAsia="zh-CN"/>
        </w:rPr>
        <w:t>比例</w:t>
      </w:r>
      <w:r>
        <w:rPr>
          <w:rFonts w:eastAsia="仿宋_GB2312"/>
          <w:color w:val="auto"/>
          <w:kern w:val="2"/>
          <w:sz w:val="32"/>
          <w:szCs w:val="22"/>
          <w:highlight w:val="none"/>
        </w:rPr>
        <w:t>为96%。</w:t>
      </w:r>
    </w:p>
    <w:p>
      <w:pPr>
        <w:ind w:firstLine="640"/>
        <w:rPr>
          <w:rFonts w:cs="Times New Roman"/>
          <w:color w:val="auto"/>
          <w:szCs w:val="32"/>
          <w:highlight w:val="none"/>
        </w:rPr>
      </w:pPr>
      <w:r>
        <w:rPr>
          <w:rFonts w:cs="Times New Roman"/>
          <w:color w:val="auto"/>
          <w:szCs w:val="32"/>
          <w:highlight w:val="none"/>
        </w:rPr>
        <w:t>（1）手工监测数据</w:t>
      </w:r>
    </w:p>
    <w:p>
      <w:pPr>
        <w:ind w:firstLine="640"/>
        <w:rPr>
          <w:rFonts w:cs="Times New Roman"/>
          <w:color w:val="auto"/>
          <w:szCs w:val="32"/>
          <w:highlight w:val="none"/>
        </w:rPr>
      </w:pPr>
      <w:r>
        <w:rPr>
          <w:rFonts w:cs="Times New Roman"/>
          <w:color w:val="auto"/>
          <w:szCs w:val="32"/>
          <w:highlight w:val="none"/>
        </w:rPr>
        <w:t>根据2021年手工监测数据（11家企业）统计，生活垃圾焚烧企业颗粒物小时浓度范围为0.5~8.1 mg/m</w:t>
      </w:r>
      <w:r>
        <w:rPr>
          <w:rFonts w:cs="Times New Roman"/>
          <w:color w:val="auto"/>
          <w:szCs w:val="32"/>
          <w:highlight w:val="none"/>
          <w:vertAlign w:val="superscript"/>
        </w:rPr>
        <w:t>3</w:t>
      </w:r>
      <w:r>
        <w:rPr>
          <w:rFonts w:cs="Times New Roman"/>
          <w:color w:val="auto"/>
          <w:szCs w:val="32"/>
          <w:highlight w:val="none"/>
        </w:rPr>
        <w:t>，全部达到10</w:t>
      </w:r>
      <w:r>
        <w:rPr>
          <w:rFonts w:cs="Times New Roman"/>
          <w:color w:val="auto"/>
          <w:highlight w:val="none"/>
        </w:rPr>
        <w:t>mg/m</w:t>
      </w:r>
      <w:r>
        <w:rPr>
          <w:rFonts w:cs="Times New Roman"/>
          <w:color w:val="auto"/>
          <w:highlight w:val="none"/>
          <w:vertAlign w:val="superscript"/>
        </w:rPr>
        <w:t>3</w:t>
      </w:r>
      <w:r>
        <w:rPr>
          <w:rFonts w:cs="Times New Roman"/>
          <w:color w:val="auto"/>
          <w:highlight w:val="none"/>
        </w:rPr>
        <w:t>。</w:t>
      </w:r>
      <w:r>
        <w:rPr>
          <w:rFonts w:cs="Times New Roman"/>
          <w:color w:val="auto"/>
          <w:szCs w:val="32"/>
          <w:highlight w:val="none"/>
        </w:rPr>
        <w:t>其中，颗粒物浓度小于5 mg/m</w:t>
      </w:r>
      <w:r>
        <w:rPr>
          <w:rFonts w:cs="Times New Roman"/>
          <w:color w:val="auto"/>
          <w:szCs w:val="32"/>
          <w:highlight w:val="none"/>
          <w:vertAlign w:val="superscript"/>
        </w:rPr>
        <w:t>3</w:t>
      </w:r>
      <w:r>
        <w:rPr>
          <w:rFonts w:cs="Times New Roman"/>
          <w:color w:val="auto"/>
          <w:szCs w:val="32"/>
          <w:highlight w:val="none"/>
        </w:rPr>
        <w:t>的数据占69.4%，大于5 mg/m</w:t>
      </w:r>
      <w:r>
        <w:rPr>
          <w:rFonts w:cs="Times New Roman"/>
          <w:color w:val="auto"/>
          <w:szCs w:val="32"/>
          <w:highlight w:val="none"/>
          <w:vertAlign w:val="superscript"/>
        </w:rPr>
        <w:t>3</w:t>
      </w:r>
      <w:r>
        <w:rPr>
          <w:rFonts w:cs="Times New Roman"/>
          <w:color w:val="auto"/>
          <w:szCs w:val="32"/>
          <w:highlight w:val="none"/>
        </w:rPr>
        <w:t>小于8 mg/m</w:t>
      </w:r>
      <w:r>
        <w:rPr>
          <w:rFonts w:cs="Times New Roman"/>
          <w:color w:val="auto"/>
          <w:szCs w:val="32"/>
          <w:highlight w:val="none"/>
          <w:vertAlign w:val="superscript"/>
        </w:rPr>
        <w:t>3</w:t>
      </w:r>
      <w:r>
        <w:rPr>
          <w:rFonts w:cs="Times New Roman"/>
          <w:color w:val="auto"/>
          <w:szCs w:val="32"/>
          <w:highlight w:val="none"/>
        </w:rPr>
        <w:t>的数据占27.8%，大于8mg/m</w:t>
      </w:r>
      <w:r>
        <w:rPr>
          <w:rFonts w:cs="Times New Roman"/>
          <w:color w:val="auto"/>
          <w:szCs w:val="32"/>
          <w:highlight w:val="none"/>
          <w:vertAlign w:val="superscript"/>
        </w:rPr>
        <w:t>3</w:t>
      </w:r>
      <w:r>
        <w:rPr>
          <w:rFonts w:cs="Times New Roman"/>
          <w:color w:val="auto"/>
          <w:szCs w:val="32"/>
          <w:highlight w:val="none"/>
        </w:rPr>
        <w:t>小于10mg/m</w:t>
      </w:r>
      <w:r>
        <w:rPr>
          <w:rFonts w:cs="Times New Roman"/>
          <w:color w:val="auto"/>
          <w:szCs w:val="32"/>
          <w:highlight w:val="none"/>
          <w:vertAlign w:val="superscript"/>
        </w:rPr>
        <w:t>3</w:t>
      </w:r>
      <w:r>
        <w:rPr>
          <w:rFonts w:cs="Times New Roman"/>
          <w:color w:val="auto"/>
          <w:szCs w:val="32"/>
          <w:highlight w:val="none"/>
        </w:rPr>
        <w:t>的数据占比为2.8%，无大于10mg/m</w:t>
      </w:r>
      <w:r>
        <w:rPr>
          <w:rFonts w:cs="Times New Roman"/>
          <w:color w:val="auto"/>
          <w:szCs w:val="32"/>
          <w:highlight w:val="none"/>
          <w:vertAlign w:val="superscript"/>
        </w:rPr>
        <w:t>3</w:t>
      </w:r>
      <w:r>
        <w:rPr>
          <w:rFonts w:cs="Times New Roman"/>
          <w:color w:val="auto"/>
          <w:szCs w:val="32"/>
          <w:highlight w:val="none"/>
        </w:rPr>
        <w:t>的数据。</w:t>
      </w:r>
    </w:p>
    <w:p>
      <w:pPr>
        <w:ind w:firstLine="640"/>
        <w:rPr>
          <w:rFonts w:cs="Times New Roman"/>
          <w:color w:val="auto"/>
          <w:szCs w:val="32"/>
          <w:highlight w:val="none"/>
        </w:rPr>
      </w:pPr>
      <w:r>
        <w:rPr>
          <w:rFonts w:cs="Times New Roman"/>
          <w:color w:val="auto"/>
          <w:szCs w:val="32"/>
          <w:highlight w:val="none"/>
        </w:rPr>
        <w:t>（2）在线监控数据</w:t>
      </w:r>
    </w:p>
    <w:p>
      <w:pPr>
        <w:ind w:firstLine="704" w:firstLineChars="220"/>
        <w:rPr>
          <w:rFonts w:cs="Times New Roman"/>
          <w:color w:val="auto"/>
          <w:szCs w:val="32"/>
          <w:highlight w:val="none"/>
        </w:rPr>
      </w:pPr>
      <w:r>
        <w:rPr>
          <w:rFonts w:cs="Times New Roman"/>
          <w:color w:val="auto"/>
          <w:szCs w:val="32"/>
          <w:highlight w:val="none"/>
        </w:rPr>
        <w:t>统计2021年已安装自动监控设施的41家生活垃圾焚烧企业在线监控数据，结果显示：</w:t>
      </w:r>
    </w:p>
    <w:p>
      <w:pPr>
        <w:ind w:firstLine="640"/>
        <w:rPr>
          <w:rFonts w:cs="Times New Roman"/>
          <w:color w:val="auto"/>
          <w:highlight w:val="none"/>
        </w:rPr>
      </w:pPr>
      <w:r>
        <w:rPr>
          <w:rFonts w:cs="Times New Roman"/>
          <w:color w:val="auto"/>
          <w:highlight w:val="none"/>
        </w:rPr>
        <w:t>①小时浓度</w:t>
      </w:r>
    </w:p>
    <w:p>
      <w:pPr>
        <w:ind w:firstLine="640"/>
        <w:rPr>
          <w:rFonts w:cs="Times New Roman"/>
          <w:color w:val="auto"/>
          <w:szCs w:val="32"/>
          <w:highlight w:val="none"/>
        </w:rPr>
      </w:pPr>
      <w:r>
        <w:rPr>
          <w:rFonts w:cs="Times New Roman"/>
          <w:color w:val="auto"/>
          <w:highlight w:val="none"/>
        </w:rPr>
        <w:t>颗粒物小时浓度有效数据519705个，颗粒物小时浓度</w:t>
      </w:r>
      <w:r>
        <w:rPr>
          <w:rFonts w:cs="Times New Roman"/>
          <w:color w:val="auto"/>
          <w:szCs w:val="32"/>
          <w:highlight w:val="none"/>
        </w:rPr>
        <w:t>范围为0.3~15.06 mg/m</w:t>
      </w:r>
      <w:r>
        <w:rPr>
          <w:rFonts w:cs="Times New Roman"/>
          <w:color w:val="auto"/>
          <w:szCs w:val="32"/>
          <w:highlight w:val="none"/>
          <w:vertAlign w:val="superscript"/>
        </w:rPr>
        <w:t>3</w:t>
      </w:r>
      <w:r>
        <w:rPr>
          <w:rFonts w:cs="Times New Roman"/>
          <w:color w:val="auto"/>
          <w:szCs w:val="32"/>
          <w:highlight w:val="none"/>
        </w:rPr>
        <w:t>，平均值为3.4 mg/m</w:t>
      </w:r>
      <w:r>
        <w:rPr>
          <w:rFonts w:cs="Times New Roman"/>
          <w:color w:val="auto"/>
          <w:szCs w:val="32"/>
          <w:highlight w:val="none"/>
          <w:vertAlign w:val="superscript"/>
        </w:rPr>
        <w:t>3</w:t>
      </w:r>
      <w:r>
        <w:rPr>
          <w:rFonts w:cs="Times New Roman"/>
          <w:color w:val="auto"/>
          <w:szCs w:val="32"/>
          <w:highlight w:val="none"/>
        </w:rPr>
        <w:t>，小时浓度达到10mg/m</w:t>
      </w:r>
      <w:r>
        <w:rPr>
          <w:rFonts w:cs="Times New Roman"/>
          <w:color w:val="auto"/>
          <w:szCs w:val="32"/>
          <w:highlight w:val="none"/>
          <w:vertAlign w:val="superscript"/>
        </w:rPr>
        <w:t>3</w:t>
      </w:r>
      <w:r>
        <w:rPr>
          <w:rFonts w:cs="Times New Roman"/>
          <w:color w:val="auto"/>
          <w:szCs w:val="32"/>
          <w:highlight w:val="none"/>
        </w:rPr>
        <w:t>以下的比率为98%。</w:t>
      </w:r>
    </w:p>
    <w:p>
      <w:pPr>
        <w:ind w:firstLine="704" w:firstLineChars="220"/>
        <w:rPr>
          <w:rFonts w:cs="Times New Roman"/>
          <w:color w:val="auto"/>
          <w:szCs w:val="32"/>
          <w:highlight w:val="none"/>
        </w:rPr>
      </w:pPr>
      <w:r>
        <w:rPr>
          <w:rFonts w:eastAsia="宋体" w:cs="Times New Roman"/>
          <w:color w:val="auto"/>
          <w:szCs w:val="32"/>
          <w:highlight w:val="none"/>
        </w:rPr>
        <w:t>②</w:t>
      </w:r>
      <w:r>
        <w:rPr>
          <w:rFonts w:cs="Times New Roman"/>
          <w:color w:val="auto"/>
          <w:szCs w:val="32"/>
          <w:highlight w:val="none"/>
        </w:rPr>
        <w:t>日均值浓度</w:t>
      </w:r>
    </w:p>
    <w:p>
      <w:pPr>
        <w:ind w:firstLine="704" w:firstLineChars="220"/>
        <w:rPr>
          <w:rFonts w:cs="Times New Roman"/>
          <w:color w:val="auto"/>
          <w:szCs w:val="32"/>
          <w:highlight w:val="none"/>
        </w:rPr>
      </w:pPr>
      <w:r>
        <w:rPr>
          <w:rFonts w:cs="Times New Roman"/>
          <w:color w:val="auto"/>
          <w:szCs w:val="32"/>
          <w:highlight w:val="none"/>
        </w:rPr>
        <w:t>颗粒物日均值有效数据21519个，颗粒物日浓度范围为0.3~8.2 mg/m</w:t>
      </w:r>
      <w:r>
        <w:rPr>
          <w:rFonts w:cs="Times New Roman"/>
          <w:color w:val="auto"/>
          <w:szCs w:val="32"/>
          <w:highlight w:val="none"/>
          <w:vertAlign w:val="superscript"/>
        </w:rPr>
        <w:t>3</w:t>
      </w:r>
      <w:r>
        <w:rPr>
          <w:rFonts w:cs="Times New Roman"/>
          <w:color w:val="auto"/>
          <w:szCs w:val="32"/>
          <w:highlight w:val="none"/>
        </w:rPr>
        <w:t>，平均值为2.9mg/m</w:t>
      </w:r>
      <w:r>
        <w:rPr>
          <w:rFonts w:cs="Times New Roman"/>
          <w:color w:val="auto"/>
          <w:szCs w:val="32"/>
          <w:highlight w:val="none"/>
          <w:vertAlign w:val="superscript"/>
        </w:rPr>
        <w:t>3</w:t>
      </w:r>
      <w:r>
        <w:rPr>
          <w:rFonts w:cs="Times New Roman"/>
          <w:color w:val="auto"/>
          <w:szCs w:val="32"/>
          <w:highlight w:val="none"/>
        </w:rPr>
        <w:t>，颗粒物日均浓度达到8 mg/m</w:t>
      </w:r>
      <w:r>
        <w:rPr>
          <w:rFonts w:cs="Times New Roman"/>
          <w:color w:val="auto"/>
          <w:szCs w:val="32"/>
          <w:highlight w:val="none"/>
          <w:vertAlign w:val="superscript"/>
        </w:rPr>
        <w:t>3</w:t>
      </w:r>
      <w:r>
        <w:rPr>
          <w:rFonts w:cs="Times New Roman"/>
          <w:color w:val="auto"/>
          <w:szCs w:val="32"/>
          <w:highlight w:val="none"/>
        </w:rPr>
        <w:t>以下的比例为96%。颗粒物日均浓度达到10 mg/m</w:t>
      </w:r>
      <w:r>
        <w:rPr>
          <w:rFonts w:cs="Times New Roman"/>
          <w:color w:val="auto"/>
          <w:szCs w:val="32"/>
          <w:highlight w:val="none"/>
          <w:vertAlign w:val="superscript"/>
        </w:rPr>
        <w:t>3</w:t>
      </w:r>
      <w:r>
        <w:rPr>
          <w:rFonts w:cs="Times New Roman"/>
          <w:color w:val="auto"/>
          <w:szCs w:val="32"/>
          <w:highlight w:val="none"/>
        </w:rPr>
        <w:t>以下的比率为98.1%，颗粒物日均浓度在10~30 mg/m</w:t>
      </w:r>
      <w:r>
        <w:rPr>
          <w:rFonts w:cs="Times New Roman"/>
          <w:color w:val="auto"/>
          <w:szCs w:val="32"/>
          <w:highlight w:val="none"/>
          <w:vertAlign w:val="superscript"/>
        </w:rPr>
        <w:t>3</w:t>
      </w:r>
      <w:bookmarkStart w:id="111" w:name="_Hlk120551895"/>
      <w:r>
        <w:rPr>
          <w:rFonts w:cs="Times New Roman"/>
          <w:color w:val="auto"/>
          <w:szCs w:val="32"/>
          <w:highlight w:val="none"/>
        </w:rPr>
        <w:t>的比率为1.9%</w:t>
      </w:r>
      <w:bookmarkEnd w:id="111"/>
      <w:r>
        <w:rPr>
          <w:rFonts w:cs="Times New Roman"/>
          <w:color w:val="auto"/>
          <w:szCs w:val="32"/>
          <w:highlight w:val="none"/>
        </w:rPr>
        <w:t>，无大于30 mg/m</w:t>
      </w:r>
      <w:r>
        <w:rPr>
          <w:rFonts w:cs="Times New Roman"/>
          <w:color w:val="auto"/>
          <w:szCs w:val="32"/>
          <w:highlight w:val="none"/>
          <w:vertAlign w:val="superscript"/>
        </w:rPr>
        <w:t>3</w:t>
      </w:r>
      <w:r>
        <w:rPr>
          <w:rFonts w:cs="Times New Roman"/>
          <w:color w:val="auto"/>
          <w:szCs w:val="32"/>
          <w:highlight w:val="none"/>
        </w:rPr>
        <w:t>以上的日均值浓度。</w:t>
      </w:r>
    </w:p>
    <w:p>
      <w:pPr>
        <w:ind w:left="0" w:leftChars="0" w:firstLine="0" w:firstLineChars="0"/>
        <w:rPr>
          <w:rFonts w:cs="Times New Roman"/>
          <w:b/>
          <w:bCs/>
          <w:color w:val="auto"/>
          <w:highlight w:val="none"/>
        </w:rPr>
      </w:pPr>
      <w:r>
        <w:rPr>
          <w:rFonts w:hint="eastAsia" w:cs="Times New Roman"/>
          <w:b/>
          <w:bCs/>
          <w:color w:val="auto"/>
          <w:highlight w:val="none"/>
          <w:lang w:val="en-US" w:eastAsia="zh-CN"/>
        </w:rPr>
        <w:t>5.4.2.2</w:t>
      </w:r>
      <w:r>
        <w:rPr>
          <w:rFonts w:cs="Times New Roman"/>
          <w:b/>
          <w:bCs/>
          <w:color w:val="auto"/>
          <w:highlight w:val="none"/>
        </w:rPr>
        <w:t xml:space="preserve"> 二氧化硫排放限值确定</w:t>
      </w:r>
    </w:p>
    <w:p>
      <w:pPr>
        <w:ind w:firstLine="640"/>
        <w:rPr>
          <w:rFonts w:cs="Times New Roman"/>
          <w:color w:val="auto"/>
          <w:szCs w:val="32"/>
          <w:highlight w:val="none"/>
        </w:rPr>
      </w:pPr>
      <w:r>
        <w:rPr>
          <w:rFonts w:cs="Times New Roman"/>
          <w:color w:val="auto"/>
          <w:highlight w:val="none"/>
        </w:rPr>
        <w:t>河南省生活垃圾焚烧企业全部采用干法+半干法脱硫措施，根据二氧化硫浓度自动跟踪控制脱硫剂的喷入量，实现二氧化硫达标排放。</w:t>
      </w:r>
      <w:bookmarkStart w:id="112" w:name="_Hlk120556748"/>
      <w:r>
        <w:rPr>
          <w:rFonts w:cs="Times New Roman"/>
          <w:color w:val="auto"/>
          <w:highlight w:val="none"/>
        </w:rPr>
        <w:t>根据现场监测和数据收集情况，二氧化硫手工监测数据小时均值低于</w:t>
      </w:r>
      <w:r>
        <w:rPr>
          <w:rFonts w:cs="Times New Roman"/>
          <w:color w:val="auto"/>
          <w:szCs w:val="32"/>
          <w:highlight w:val="none"/>
        </w:rPr>
        <w:t>35 mg/m</w:t>
      </w:r>
      <w:r>
        <w:rPr>
          <w:rFonts w:cs="Times New Roman"/>
          <w:color w:val="auto"/>
          <w:szCs w:val="32"/>
          <w:highlight w:val="none"/>
          <w:vertAlign w:val="superscript"/>
        </w:rPr>
        <w:t>3</w:t>
      </w:r>
      <w:r>
        <w:rPr>
          <w:rFonts w:cs="Times New Roman"/>
          <w:color w:val="auto"/>
          <w:szCs w:val="32"/>
          <w:highlight w:val="none"/>
        </w:rPr>
        <w:t>的</w:t>
      </w:r>
      <w:r>
        <w:rPr>
          <w:rFonts w:hint="eastAsia" w:cs="Times New Roman"/>
          <w:color w:val="auto"/>
          <w:szCs w:val="32"/>
          <w:highlight w:val="none"/>
          <w:lang w:val="en-US" w:eastAsia="zh-CN"/>
        </w:rPr>
        <w:t>比例</w:t>
      </w:r>
      <w:r>
        <w:rPr>
          <w:rFonts w:cs="Times New Roman"/>
          <w:color w:val="auto"/>
          <w:szCs w:val="32"/>
          <w:highlight w:val="none"/>
        </w:rPr>
        <w:t>为</w:t>
      </w:r>
      <w:r>
        <w:rPr>
          <w:rFonts w:hint="eastAsia" w:cs="Times New Roman"/>
          <w:color w:val="auto"/>
          <w:szCs w:val="32"/>
          <w:highlight w:val="none"/>
        </w:rPr>
        <w:t>86</w:t>
      </w:r>
      <w:r>
        <w:rPr>
          <w:rFonts w:cs="Times New Roman"/>
          <w:color w:val="auto"/>
          <w:szCs w:val="32"/>
          <w:highlight w:val="none"/>
        </w:rPr>
        <w:t>.</w:t>
      </w:r>
      <w:r>
        <w:rPr>
          <w:rFonts w:hint="eastAsia" w:cs="Times New Roman"/>
          <w:color w:val="auto"/>
          <w:szCs w:val="32"/>
          <w:highlight w:val="none"/>
        </w:rPr>
        <w:t>1</w:t>
      </w:r>
      <w:r>
        <w:rPr>
          <w:rFonts w:cs="Times New Roman"/>
          <w:color w:val="auto"/>
          <w:szCs w:val="32"/>
          <w:highlight w:val="none"/>
        </w:rPr>
        <w:t>%</w:t>
      </w:r>
      <w:r>
        <w:rPr>
          <w:rFonts w:cs="Times New Roman"/>
          <w:color w:val="auto"/>
          <w:highlight w:val="none"/>
        </w:rPr>
        <w:t>，</w:t>
      </w:r>
      <w:bookmarkStart w:id="113" w:name="_Hlk120553567"/>
      <w:r>
        <w:rPr>
          <w:rFonts w:cs="Times New Roman"/>
          <w:color w:val="auto"/>
          <w:highlight w:val="none"/>
        </w:rPr>
        <w:t>在线监控数据小时均值低于</w:t>
      </w:r>
      <w:r>
        <w:rPr>
          <w:rFonts w:cs="Times New Roman"/>
          <w:color w:val="auto"/>
          <w:szCs w:val="32"/>
          <w:highlight w:val="none"/>
        </w:rPr>
        <w:t>35 mg/m</w:t>
      </w:r>
      <w:r>
        <w:rPr>
          <w:rFonts w:cs="Times New Roman"/>
          <w:color w:val="auto"/>
          <w:szCs w:val="32"/>
          <w:highlight w:val="none"/>
          <w:vertAlign w:val="superscript"/>
        </w:rPr>
        <w:t>3</w:t>
      </w:r>
      <w:r>
        <w:rPr>
          <w:rFonts w:cs="Times New Roman"/>
          <w:color w:val="auto"/>
          <w:szCs w:val="32"/>
          <w:highlight w:val="none"/>
        </w:rPr>
        <w:t>的</w:t>
      </w:r>
      <w:r>
        <w:rPr>
          <w:rFonts w:hint="eastAsia" w:cs="Times New Roman"/>
          <w:color w:val="auto"/>
          <w:szCs w:val="32"/>
          <w:highlight w:val="none"/>
          <w:lang w:val="en-US" w:eastAsia="zh-CN"/>
        </w:rPr>
        <w:t>比例</w:t>
      </w:r>
      <w:r>
        <w:rPr>
          <w:rFonts w:cs="Times New Roman"/>
          <w:color w:val="auto"/>
          <w:szCs w:val="32"/>
          <w:highlight w:val="none"/>
        </w:rPr>
        <w:t>为85%；</w:t>
      </w:r>
      <w:bookmarkEnd w:id="113"/>
      <w:r>
        <w:rPr>
          <w:rFonts w:cs="Times New Roman"/>
          <w:color w:val="auto"/>
          <w:highlight w:val="none"/>
        </w:rPr>
        <w:t>在线监控数据日均值低于</w:t>
      </w:r>
      <w:r>
        <w:rPr>
          <w:rFonts w:cs="Times New Roman"/>
          <w:color w:val="auto"/>
          <w:szCs w:val="32"/>
          <w:highlight w:val="none"/>
        </w:rPr>
        <w:t>30 mg/m</w:t>
      </w:r>
      <w:r>
        <w:rPr>
          <w:rFonts w:cs="Times New Roman"/>
          <w:color w:val="auto"/>
          <w:szCs w:val="32"/>
          <w:highlight w:val="none"/>
          <w:vertAlign w:val="superscript"/>
        </w:rPr>
        <w:t>3</w:t>
      </w:r>
      <w:r>
        <w:rPr>
          <w:rFonts w:cs="Times New Roman"/>
          <w:color w:val="auto"/>
          <w:szCs w:val="32"/>
          <w:highlight w:val="none"/>
        </w:rPr>
        <w:t>的</w:t>
      </w:r>
      <w:r>
        <w:rPr>
          <w:rFonts w:hint="eastAsia" w:cs="Times New Roman"/>
          <w:color w:val="auto"/>
          <w:szCs w:val="32"/>
          <w:highlight w:val="none"/>
          <w:lang w:val="en-US" w:eastAsia="zh-CN"/>
        </w:rPr>
        <w:t>比例</w:t>
      </w:r>
      <w:r>
        <w:rPr>
          <w:rFonts w:cs="Times New Roman"/>
          <w:color w:val="auto"/>
          <w:szCs w:val="32"/>
          <w:highlight w:val="none"/>
        </w:rPr>
        <w:t>为79%。</w:t>
      </w:r>
      <w:bookmarkEnd w:id="112"/>
    </w:p>
    <w:p>
      <w:pPr>
        <w:ind w:firstLine="640"/>
        <w:rPr>
          <w:rFonts w:cs="Times New Roman"/>
          <w:color w:val="auto"/>
          <w:szCs w:val="32"/>
          <w:highlight w:val="none"/>
        </w:rPr>
      </w:pPr>
      <w:r>
        <w:rPr>
          <w:rFonts w:cs="Times New Roman"/>
          <w:color w:val="auto"/>
          <w:szCs w:val="32"/>
          <w:highlight w:val="none"/>
        </w:rPr>
        <w:t>（1）手工监测数据</w:t>
      </w:r>
    </w:p>
    <w:p>
      <w:pPr>
        <w:ind w:firstLine="640"/>
        <w:rPr>
          <w:rFonts w:cs="Times New Roman"/>
          <w:color w:val="auto"/>
          <w:szCs w:val="32"/>
          <w:highlight w:val="none"/>
        </w:rPr>
      </w:pPr>
      <w:r>
        <w:rPr>
          <w:rFonts w:cs="Times New Roman"/>
          <w:color w:val="auto"/>
          <w:szCs w:val="32"/>
          <w:highlight w:val="none"/>
        </w:rPr>
        <w:t>根据2021年手工监测数据统计</w:t>
      </w:r>
      <w:bookmarkStart w:id="114" w:name="_Hlk120554386"/>
      <w:r>
        <w:rPr>
          <w:rFonts w:cs="Times New Roman"/>
          <w:color w:val="auto"/>
          <w:szCs w:val="32"/>
          <w:highlight w:val="none"/>
        </w:rPr>
        <w:t>（11家企业）</w:t>
      </w:r>
      <w:bookmarkEnd w:id="114"/>
      <w:r>
        <w:rPr>
          <w:rFonts w:cs="Times New Roman"/>
          <w:color w:val="auto"/>
          <w:szCs w:val="32"/>
          <w:highlight w:val="none"/>
        </w:rPr>
        <w:t>，生活垃圾焚烧企业二氧化硫小时浓度范围为未检出~48mg/m</w:t>
      </w:r>
      <w:r>
        <w:rPr>
          <w:rFonts w:cs="Times New Roman"/>
          <w:color w:val="auto"/>
          <w:szCs w:val="32"/>
          <w:highlight w:val="none"/>
          <w:vertAlign w:val="superscript"/>
        </w:rPr>
        <w:t>3</w:t>
      </w:r>
      <w:r>
        <w:rPr>
          <w:rFonts w:cs="Times New Roman"/>
          <w:color w:val="auto"/>
          <w:szCs w:val="32"/>
          <w:highlight w:val="none"/>
        </w:rPr>
        <w:t>，其中小时浓度低于35 mg/m</w:t>
      </w:r>
      <w:r>
        <w:rPr>
          <w:rFonts w:cs="Times New Roman"/>
          <w:color w:val="auto"/>
          <w:szCs w:val="32"/>
          <w:highlight w:val="none"/>
          <w:vertAlign w:val="superscript"/>
        </w:rPr>
        <w:t>3</w:t>
      </w:r>
      <w:r>
        <w:rPr>
          <w:rFonts w:cs="Times New Roman"/>
          <w:color w:val="auto"/>
          <w:szCs w:val="32"/>
          <w:highlight w:val="none"/>
        </w:rPr>
        <w:t>的数据占比为</w:t>
      </w:r>
      <w:r>
        <w:rPr>
          <w:rFonts w:hint="eastAsia" w:cs="Times New Roman"/>
          <w:color w:val="auto"/>
          <w:szCs w:val="32"/>
          <w:highlight w:val="none"/>
        </w:rPr>
        <w:t>86.1</w:t>
      </w:r>
      <w:r>
        <w:rPr>
          <w:rFonts w:cs="Times New Roman"/>
          <w:color w:val="auto"/>
          <w:szCs w:val="32"/>
          <w:highlight w:val="none"/>
        </w:rPr>
        <w:t>%，大于</w:t>
      </w:r>
      <w:bookmarkStart w:id="115" w:name="_Hlk120551886"/>
      <w:r>
        <w:rPr>
          <w:rFonts w:cs="Times New Roman"/>
          <w:color w:val="auto"/>
          <w:szCs w:val="32"/>
          <w:highlight w:val="none"/>
        </w:rPr>
        <w:t>35 mg/m</w:t>
      </w:r>
      <w:r>
        <w:rPr>
          <w:rFonts w:cs="Times New Roman"/>
          <w:color w:val="auto"/>
          <w:szCs w:val="32"/>
          <w:highlight w:val="none"/>
          <w:vertAlign w:val="superscript"/>
        </w:rPr>
        <w:t>3</w:t>
      </w:r>
      <w:bookmarkEnd w:id="115"/>
      <w:r>
        <w:rPr>
          <w:rFonts w:cs="Times New Roman"/>
          <w:color w:val="auto"/>
          <w:szCs w:val="32"/>
          <w:highlight w:val="none"/>
        </w:rPr>
        <w:t>数据占比为</w:t>
      </w:r>
      <w:r>
        <w:rPr>
          <w:rFonts w:hint="eastAsia" w:cs="Times New Roman"/>
          <w:color w:val="auto"/>
          <w:szCs w:val="32"/>
          <w:highlight w:val="none"/>
        </w:rPr>
        <w:t>13.9</w:t>
      </w:r>
      <w:r>
        <w:rPr>
          <w:rFonts w:cs="Times New Roman"/>
          <w:color w:val="auto"/>
          <w:szCs w:val="32"/>
          <w:highlight w:val="none"/>
        </w:rPr>
        <w:t>%。</w:t>
      </w:r>
    </w:p>
    <w:p>
      <w:pPr>
        <w:ind w:firstLine="640"/>
        <w:rPr>
          <w:rFonts w:cs="Times New Roman"/>
          <w:color w:val="auto"/>
          <w:szCs w:val="32"/>
          <w:highlight w:val="none"/>
        </w:rPr>
      </w:pPr>
      <w:r>
        <w:rPr>
          <w:rFonts w:cs="Times New Roman"/>
          <w:color w:val="auto"/>
          <w:szCs w:val="32"/>
          <w:highlight w:val="none"/>
        </w:rPr>
        <w:t>（2）在线监控数据</w:t>
      </w:r>
    </w:p>
    <w:p>
      <w:pPr>
        <w:ind w:firstLine="704" w:firstLineChars="220"/>
        <w:rPr>
          <w:rFonts w:cs="Times New Roman"/>
          <w:color w:val="auto"/>
          <w:szCs w:val="32"/>
          <w:highlight w:val="none"/>
        </w:rPr>
      </w:pPr>
      <w:r>
        <w:rPr>
          <w:rFonts w:cs="Times New Roman"/>
          <w:color w:val="auto"/>
          <w:szCs w:val="32"/>
          <w:highlight w:val="none"/>
        </w:rPr>
        <w:t>统计已安装自动监控设施的41家生活垃圾焚烧企业2021年在线监控数据，结果显示：</w:t>
      </w:r>
    </w:p>
    <w:p>
      <w:pPr>
        <w:ind w:firstLine="704" w:firstLineChars="220"/>
        <w:rPr>
          <w:rFonts w:cs="Times New Roman"/>
          <w:color w:val="auto"/>
          <w:szCs w:val="32"/>
          <w:highlight w:val="none"/>
        </w:rPr>
      </w:pPr>
      <w:r>
        <w:rPr>
          <w:rFonts w:cs="Times New Roman"/>
          <w:color w:val="auto"/>
          <w:szCs w:val="32"/>
          <w:highlight w:val="none"/>
        </w:rPr>
        <w:t>①小时浓度</w:t>
      </w:r>
    </w:p>
    <w:p>
      <w:pPr>
        <w:pStyle w:val="25"/>
        <w:ind w:firstLine="704" w:firstLineChars="220"/>
        <w:jc w:val="both"/>
        <w:rPr>
          <w:rFonts w:eastAsia="仿宋_GB2312"/>
          <w:color w:val="auto"/>
          <w:kern w:val="2"/>
          <w:sz w:val="32"/>
          <w:szCs w:val="32"/>
          <w:highlight w:val="none"/>
        </w:rPr>
      </w:pPr>
      <w:r>
        <w:rPr>
          <w:rFonts w:eastAsia="仿宋_GB2312"/>
          <w:color w:val="auto"/>
          <w:kern w:val="2"/>
          <w:sz w:val="32"/>
          <w:szCs w:val="32"/>
          <w:highlight w:val="none"/>
        </w:rPr>
        <w:t>二氧化硫小时浓度有效数据517700个，二氧化硫小时浓度值范围为6.1~56.3 mg/m</w:t>
      </w:r>
      <w:r>
        <w:rPr>
          <w:rFonts w:eastAsia="仿宋_GB2312"/>
          <w:color w:val="auto"/>
          <w:kern w:val="2"/>
          <w:sz w:val="32"/>
          <w:szCs w:val="32"/>
          <w:highlight w:val="none"/>
          <w:vertAlign w:val="superscript"/>
        </w:rPr>
        <w:t>3</w:t>
      </w:r>
      <w:r>
        <w:rPr>
          <w:rFonts w:eastAsia="仿宋_GB2312"/>
          <w:color w:val="auto"/>
          <w:kern w:val="2"/>
          <w:sz w:val="32"/>
          <w:szCs w:val="32"/>
          <w:highlight w:val="none"/>
        </w:rPr>
        <w:t>，平均值为21.4mg/m</w:t>
      </w:r>
      <w:r>
        <w:rPr>
          <w:rFonts w:eastAsia="仿宋_GB2312"/>
          <w:color w:val="auto"/>
          <w:kern w:val="2"/>
          <w:sz w:val="32"/>
          <w:szCs w:val="32"/>
          <w:highlight w:val="none"/>
          <w:vertAlign w:val="superscript"/>
        </w:rPr>
        <w:t>3</w:t>
      </w:r>
      <w:r>
        <w:rPr>
          <w:rFonts w:eastAsia="仿宋_GB2312"/>
          <w:color w:val="auto"/>
          <w:kern w:val="2"/>
          <w:sz w:val="32"/>
          <w:szCs w:val="32"/>
          <w:highlight w:val="none"/>
        </w:rPr>
        <w:t>，小时浓度低于</w:t>
      </w:r>
      <w:bookmarkStart w:id="116" w:name="_Hlk120553042"/>
      <w:r>
        <w:rPr>
          <w:rFonts w:eastAsia="仿宋_GB2312"/>
          <w:color w:val="auto"/>
          <w:kern w:val="2"/>
          <w:sz w:val="32"/>
          <w:szCs w:val="32"/>
          <w:highlight w:val="none"/>
        </w:rPr>
        <w:t>35 mg/m</w:t>
      </w:r>
      <w:r>
        <w:rPr>
          <w:rFonts w:eastAsia="仿宋_GB2312"/>
          <w:color w:val="auto"/>
          <w:kern w:val="2"/>
          <w:sz w:val="32"/>
          <w:szCs w:val="32"/>
          <w:highlight w:val="none"/>
          <w:vertAlign w:val="superscript"/>
        </w:rPr>
        <w:t>3</w:t>
      </w:r>
      <w:r>
        <w:rPr>
          <w:rFonts w:eastAsia="仿宋_GB2312"/>
          <w:color w:val="auto"/>
          <w:kern w:val="2"/>
          <w:sz w:val="32"/>
          <w:szCs w:val="32"/>
          <w:highlight w:val="none"/>
        </w:rPr>
        <w:t>的比率为85%</w:t>
      </w:r>
      <w:bookmarkEnd w:id="116"/>
      <w:r>
        <w:rPr>
          <w:rFonts w:eastAsia="仿宋_GB2312"/>
          <w:color w:val="auto"/>
          <w:kern w:val="2"/>
          <w:sz w:val="32"/>
          <w:szCs w:val="32"/>
          <w:highlight w:val="none"/>
        </w:rPr>
        <w:t>，高于35 mg/m</w:t>
      </w:r>
      <w:r>
        <w:rPr>
          <w:rFonts w:eastAsia="仿宋_GB2312"/>
          <w:color w:val="auto"/>
          <w:kern w:val="2"/>
          <w:sz w:val="32"/>
          <w:szCs w:val="32"/>
          <w:highlight w:val="none"/>
          <w:vertAlign w:val="superscript"/>
        </w:rPr>
        <w:t>3</w:t>
      </w:r>
      <w:r>
        <w:rPr>
          <w:rFonts w:eastAsia="仿宋_GB2312"/>
          <w:color w:val="auto"/>
          <w:kern w:val="2"/>
          <w:sz w:val="32"/>
          <w:szCs w:val="32"/>
          <w:highlight w:val="none"/>
        </w:rPr>
        <w:t>的比率为15%。二氧化硫小时浓度现状排放水平见表5.4-2。</w:t>
      </w:r>
    </w:p>
    <w:p>
      <w:pPr>
        <w:tabs>
          <w:tab w:val="left" w:pos="360"/>
        </w:tabs>
        <w:ind w:firstLine="0" w:firstLineChars="0"/>
        <w:jc w:val="both"/>
        <w:rPr>
          <w:rFonts w:cs="Times New Roman"/>
          <w:b/>
          <w:bCs/>
          <w:color w:val="auto"/>
          <w:szCs w:val="32"/>
          <w:highlight w:val="none"/>
        </w:rPr>
      </w:pPr>
      <w:r>
        <w:rPr>
          <w:rFonts w:cs="Times New Roman"/>
          <w:b/>
          <w:bCs/>
          <w:color w:val="auto"/>
          <w:szCs w:val="32"/>
          <w:highlight w:val="none"/>
        </w:rPr>
        <w:t xml:space="preserve">表5.4-2  </w:t>
      </w:r>
      <w:r>
        <w:rPr>
          <w:rFonts w:hint="eastAsia" w:cs="Times New Roman"/>
          <w:b/>
          <w:bCs/>
          <w:color w:val="auto"/>
          <w:szCs w:val="32"/>
          <w:highlight w:val="none"/>
          <w:lang w:val="en-US" w:eastAsia="zh-CN"/>
        </w:rPr>
        <w:t xml:space="preserve">    </w:t>
      </w:r>
      <w:r>
        <w:rPr>
          <w:rFonts w:cs="Times New Roman"/>
          <w:b/>
          <w:bCs/>
          <w:color w:val="auto"/>
          <w:szCs w:val="32"/>
          <w:highlight w:val="none"/>
        </w:rPr>
        <w:t>企业</w:t>
      </w:r>
      <w:bookmarkStart w:id="117" w:name="_Hlk120553174"/>
      <w:r>
        <w:rPr>
          <w:rFonts w:cs="Times New Roman"/>
          <w:b/>
          <w:bCs/>
          <w:color w:val="auto"/>
          <w:szCs w:val="32"/>
          <w:highlight w:val="none"/>
        </w:rPr>
        <w:t>二氧化硫小时浓度现状排放水平</w:t>
      </w:r>
      <w:bookmarkEnd w:id="117"/>
    </w:p>
    <w:tbl>
      <w:tblPr>
        <w:tblStyle w:val="13"/>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043"/>
        <w:gridCol w:w="1513"/>
        <w:gridCol w:w="1617"/>
        <w:gridCol w:w="1513"/>
        <w:gridCol w:w="1444"/>
        <w:gridCol w:w="139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612"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主要污染物</w:t>
            </w:r>
          </w:p>
        </w:tc>
        <w:tc>
          <w:tcPr>
            <w:tcW w:w="887"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手工监测浓度（mg/m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948"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自动监控浓度（mg/m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887"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浓度分类（mg/m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847"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手工监测数据占比（%）</w:t>
            </w:r>
          </w:p>
        </w:tc>
        <w:tc>
          <w:tcPr>
            <w:tcW w:w="816"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自动监控数据占比（%）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612"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SO</w:t>
            </w:r>
            <w:r>
              <w:rPr>
                <w:rFonts w:cs="Times New Roman"/>
                <w:color w:val="auto"/>
                <w:sz w:val="24"/>
                <w:szCs w:val="24"/>
                <w:highlight w:val="none"/>
                <w:vertAlign w:val="subscript"/>
              </w:rPr>
              <w:t>2</w:t>
            </w:r>
          </w:p>
        </w:tc>
        <w:tc>
          <w:tcPr>
            <w:tcW w:w="887"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未检出~48</w:t>
            </w:r>
          </w:p>
        </w:tc>
        <w:tc>
          <w:tcPr>
            <w:tcW w:w="948"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6.1~56.3</w:t>
            </w:r>
          </w:p>
        </w:tc>
        <w:tc>
          <w:tcPr>
            <w:tcW w:w="887"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＜35</w:t>
            </w:r>
          </w:p>
        </w:tc>
        <w:tc>
          <w:tcPr>
            <w:tcW w:w="847"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79.41</w:t>
            </w:r>
          </w:p>
        </w:tc>
        <w:tc>
          <w:tcPr>
            <w:tcW w:w="816" w:type="pct"/>
            <w:shd w:val="clear" w:color="auto" w:fill="auto"/>
            <w:noWrap/>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85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612" w:type="pct"/>
            <w:vMerge w:val="continue"/>
            <w:vAlign w:val="center"/>
          </w:tcPr>
          <w:p>
            <w:pPr>
              <w:ind w:firstLine="0" w:firstLineChars="0"/>
              <w:jc w:val="center"/>
              <w:rPr>
                <w:rFonts w:cs="Times New Roman"/>
                <w:color w:val="auto"/>
                <w:sz w:val="24"/>
                <w:szCs w:val="24"/>
                <w:highlight w:val="none"/>
              </w:rPr>
            </w:pPr>
          </w:p>
        </w:tc>
        <w:tc>
          <w:tcPr>
            <w:tcW w:w="887" w:type="pct"/>
            <w:vMerge w:val="continue"/>
            <w:vAlign w:val="center"/>
          </w:tcPr>
          <w:p>
            <w:pPr>
              <w:ind w:firstLine="0" w:firstLineChars="0"/>
              <w:jc w:val="center"/>
              <w:rPr>
                <w:rFonts w:cs="Times New Roman"/>
                <w:color w:val="auto"/>
                <w:sz w:val="24"/>
                <w:szCs w:val="24"/>
                <w:highlight w:val="none"/>
              </w:rPr>
            </w:pPr>
          </w:p>
        </w:tc>
        <w:tc>
          <w:tcPr>
            <w:tcW w:w="948" w:type="pct"/>
            <w:vMerge w:val="continue"/>
            <w:vAlign w:val="center"/>
          </w:tcPr>
          <w:p>
            <w:pPr>
              <w:ind w:firstLine="0" w:firstLineChars="0"/>
              <w:jc w:val="center"/>
              <w:rPr>
                <w:rFonts w:cs="Times New Roman"/>
                <w:color w:val="auto"/>
                <w:sz w:val="24"/>
                <w:szCs w:val="24"/>
                <w:highlight w:val="none"/>
              </w:rPr>
            </w:pPr>
          </w:p>
        </w:tc>
        <w:tc>
          <w:tcPr>
            <w:tcW w:w="887"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35～100</w:t>
            </w:r>
          </w:p>
        </w:tc>
        <w:tc>
          <w:tcPr>
            <w:tcW w:w="847"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20.59</w:t>
            </w:r>
          </w:p>
        </w:tc>
        <w:tc>
          <w:tcPr>
            <w:tcW w:w="816" w:type="pct"/>
            <w:vMerge w:val="restart"/>
            <w:shd w:val="clear" w:color="auto" w:fill="auto"/>
            <w:noWrap/>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612" w:type="pct"/>
            <w:vMerge w:val="continue"/>
            <w:vAlign w:val="center"/>
          </w:tcPr>
          <w:p>
            <w:pPr>
              <w:ind w:firstLine="0" w:firstLineChars="0"/>
              <w:jc w:val="center"/>
              <w:rPr>
                <w:rFonts w:cs="Times New Roman"/>
                <w:color w:val="auto"/>
                <w:sz w:val="24"/>
                <w:szCs w:val="24"/>
                <w:highlight w:val="none"/>
              </w:rPr>
            </w:pPr>
          </w:p>
        </w:tc>
        <w:tc>
          <w:tcPr>
            <w:tcW w:w="887" w:type="pct"/>
            <w:vMerge w:val="continue"/>
            <w:vAlign w:val="center"/>
          </w:tcPr>
          <w:p>
            <w:pPr>
              <w:ind w:firstLine="0" w:firstLineChars="0"/>
              <w:jc w:val="center"/>
              <w:rPr>
                <w:rFonts w:cs="Times New Roman"/>
                <w:color w:val="auto"/>
                <w:sz w:val="24"/>
                <w:szCs w:val="24"/>
                <w:highlight w:val="none"/>
              </w:rPr>
            </w:pPr>
          </w:p>
        </w:tc>
        <w:tc>
          <w:tcPr>
            <w:tcW w:w="948" w:type="pct"/>
            <w:vMerge w:val="continue"/>
            <w:vAlign w:val="center"/>
          </w:tcPr>
          <w:p>
            <w:pPr>
              <w:ind w:firstLine="0" w:firstLineChars="0"/>
              <w:jc w:val="center"/>
              <w:rPr>
                <w:rFonts w:cs="Times New Roman"/>
                <w:color w:val="auto"/>
                <w:sz w:val="24"/>
                <w:szCs w:val="24"/>
                <w:highlight w:val="none"/>
              </w:rPr>
            </w:pPr>
          </w:p>
        </w:tc>
        <w:tc>
          <w:tcPr>
            <w:tcW w:w="887"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≥100</w:t>
            </w:r>
          </w:p>
        </w:tc>
        <w:tc>
          <w:tcPr>
            <w:tcW w:w="847"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0</w:t>
            </w:r>
          </w:p>
        </w:tc>
        <w:tc>
          <w:tcPr>
            <w:tcW w:w="816" w:type="pct"/>
            <w:vMerge w:val="continue"/>
            <w:shd w:val="clear" w:color="auto" w:fill="auto"/>
            <w:noWrap/>
            <w:vAlign w:val="center"/>
          </w:tcPr>
          <w:p>
            <w:pPr>
              <w:ind w:firstLine="0" w:firstLineChars="0"/>
              <w:jc w:val="center"/>
              <w:rPr>
                <w:rFonts w:cs="Times New Roman"/>
                <w:color w:val="auto"/>
                <w:sz w:val="24"/>
                <w:szCs w:val="24"/>
                <w:highlight w:val="none"/>
              </w:rPr>
            </w:pPr>
          </w:p>
        </w:tc>
      </w:tr>
    </w:tbl>
    <w:p>
      <w:pPr>
        <w:spacing w:line="240" w:lineRule="exact"/>
        <w:ind w:firstLine="640"/>
        <w:rPr>
          <w:rFonts w:cs="Times New Roman"/>
          <w:color w:val="auto"/>
          <w:szCs w:val="32"/>
          <w:highlight w:val="none"/>
        </w:rPr>
      </w:pPr>
    </w:p>
    <w:p>
      <w:pPr>
        <w:ind w:firstLine="704" w:firstLineChars="220"/>
        <w:rPr>
          <w:rFonts w:cs="Times New Roman"/>
          <w:color w:val="auto"/>
          <w:szCs w:val="32"/>
          <w:highlight w:val="none"/>
        </w:rPr>
      </w:pPr>
      <w:r>
        <w:rPr>
          <w:rFonts w:cs="Times New Roman"/>
          <w:color w:val="auto"/>
          <w:szCs w:val="32"/>
          <w:highlight w:val="none"/>
        </w:rPr>
        <w:t>②日均值浓度</w:t>
      </w:r>
    </w:p>
    <w:p>
      <w:pPr>
        <w:ind w:firstLine="640"/>
        <w:rPr>
          <w:rFonts w:cs="Times New Roman"/>
          <w:color w:val="auto"/>
          <w:szCs w:val="32"/>
          <w:highlight w:val="none"/>
        </w:rPr>
      </w:pPr>
      <w:r>
        <w:rPr>
          <w:rFonts w:cs="Times New Roman"/>
          <w:color w:val="auto"/>
          <w:szCs w:val="32"/>
          <w:highlight w:val="none"/>
        </w:rPr>
        <w:t>二氧化硫日均值有效数据21478个，二氧化硫日均值浓度范围为6.05~40.07 mg/m</w:t>
      </w:r>
      <w:r>
        <w:rPr>
          <w:rFonts w:cs="Times New Roman"/>
          <w:color w:val="auto"/>
          <w:szCs w:val="32"/>
          <w:highlight w:val="none"/>
          <w:vertAlign w:val="superscript"/>
        </w:rPr>
        <w:t>3</w:t>
      </w:r>
      <w:r>
        <w:rPr>
          <w:rFonts w:cs="Times New Roman"/>
          <w:color w:val="auto"/>
          <w:szCs w:val="32"/>
          <w:highlight w:val="none"/>
        </w:rPr>
        <w:t>，平均值为20.99mg/m</w:t>
      </w:r>
      <w:r>
        <w:rPr>
          <w:rFonts w:cs="Times New Roman"/>
          <w:color w:val="auto"/>
          <w:szCs w:val="32"/>
          <w:highlight w:val="none"/>
          <w:vertAlign w:val="superscript"/>
        </w:rPr>
        <w:t>3</w:t>
      </w:r>
      <w:r>
        <w:rPr>
          <w:rFonts w:cs="Times New Roman"/>
          <w:color w:val="auto"/>
          <w:szCs w:val="32"/>
          <w:highlight w:val="none"/>
        </w:rPr>
        <w:t>，二氧化硫日均浓度低于30</w:t>
      </w:r>
      <w:bookmarkStart w:id="118" w:name="_Hlk120553410"/>
      <w:r>
        <w:rPr>
          <w:rFonts w:cs="Times New Roman"/>
          <w:color w:val="auto"/>
          <w:szCs w:val="32"/>
          <w:highlight w:val="none"/>
        </w:rPr>
        <w:t>mg/m</w:t>
      </w:r>
      <w:r>
        <w:rPr>
          <w:rFonts w:cs="Times New Roman"/>
          <w:color w:val="auto"/>
          <w:szCs w:val="32"/>
          <w:highlight w:val="none"/>
          <w:vertAlign w:val="superscript"/>
        </w:rPr>
        <w:t>3</w:t>
      </w:r>
      <w:bookmarkEnd w:id="118"/>
      <w:r>
        <w:rPr>
          <w:rFonts w:cs="Times New Roman"/>
          <w:color w:val="auto"/>
          <w:szCs w:val="32"/>
          <w:highlight w:val="none"/>
        </w:rPr>
        <w:t>的比率为79%，高于30mg /m</w:t>
      </w:r>
      <w:r>
        <w:rPr>
          <w:rFonts w:cs="Times New Roman"/>
          <w:color w:val="auto"/>
          <w:szCs w:val="32"/>
          <w:highlight w:val="none"/>
          <w:vertAlign w:val="superscript"/>
        </w:rPr>
        <w:t>3</w:t>
      </w:r>
      <w:r>
        <w:rPr>
          <w:rFonts w:cs="Times New Roman"/>
          <w:color w:val="auto"/>
          <w:szCs w:val="32"/>
          <w:highlight w:val="none"/>
        </w:rPr>
        <w:t>的比率为21%</w:t>
      </w:r>
      <w:bookmarkStart w:id="119" w:name="_Hlk120555241"/>
      <w:r>
        <w:rPr>
          <w:rFonts w:cs="Times New Roman"/>
          <w:color w:val="auto"/>
          <w:szCs w:val="32"/>
          <w:highlight w:val="none"/>
        </w:rPr>
        <w:t>。</w:t>
      </w:r>
      <w:bookmarkEnd w:id="119"/>
    </w:p>
    <w:p>
      <w:pPr>
        <w:ind w:left="0" w:leftChars="0" w:firstLine="0" w:firstLineChars="0"/>
        <w:rPr>
          <w:rFonts w:cs="Times New Roman"/>
          <w:b/>
          <w:bCs/>
          <w:color w:val="auto"/>
          <w:highlight w:val="none"/>
        </w:rPr>
      </w:pPr>
      <w:bookmarkStart w:id="120" w:name="_Hlk120555069"/>
      <w:r>
        <w:rPr>
          <w:rFonts w:hint="eastAsia" w:cs="Times New Roman"/>
          <w:b/>
          <w:bCs/>
          <w:color w:val="auto"/>
          <w:highlight w:val="none"/>
          <w:lang w:val="en-US" w:eastAsia="zh-CN"/>
        </w:rPr>
        <w:t>5.4.2.3</w:t>
      </w:r>
      <w:r>
        <w:rPr>
          <w:rFonts w:cs="Times New Roman"/>
          <w:b/>
          <w:bCs/>
          <w:color w:val="auto"/>
          <w:highlight w:val="none"/>
        </w:rPr>
        <w:t>氯化氢</w:t>
      </w:r>
      <w:bookmarkEnd w:id="120"/>
      <w:r>
        <w:rPr>
          <w:rFonts w:cs="Times New Roman"/>
          <w:b/>
          <w:bCs/>
          <w:color w:val="auto"/>
          <w:highlight w:val="none"/>
        </w:rPr>
        <w:t>排放限值确定</w:t>
      </w:r>
    </w:p>
    <w:p>
      <w:pPr>
        <w:ind w:firstLine="640"/>
        <w:rPr>
          <w:rFonts w:cs="Times New Roman"/>
          <w:color w:val="auto"/>
          <w:highlight w:val="none"/>
        </w:rPr>
      </w:pPr>
      <w:r>
        <w:rPr>
          <w:rFonts w:cs="Times New Roman"/>
          <w:color w:val="auto"/>
          <w:highlight w:val="none"/>
        </w:rPr>
        <w:t>河南省生活垃圾焚烧企业全部采用干法、半干法等措施去除烟气中的</w:t>
      </w:r>
      <w:bookmarkStart w:id="121" w:name="_Hlk120553724"/>
      <w:r>
        <w:rPr>
          <w:rFonts w:cs="Times New Roman"/>
          <w:color w:val="auto"/>
          <w:highlight w:val="none"/>
        </w:rPr>
        <w:t>氯化氢</w:t>
      </w:r>
      <w:bookmarkEnd w:id="121"/>
      <w:r>
        <w:rPr>
          <w:rFonts w:cs="Times New Roman"/>
          <w:color w:val="auto"/>
          <w:highlight w:val="none"/>
        </w:rPr>
        <w:t>，保证氯化氢达标排放。根据现场监测和数据收集情况，氯化氢手工监测数据小时均值低于</w:t>
      </w:r>
      <w:r>
        <w:rPr>
          <w:rFonts w:cs="Times New Roman"/>
          <w:color w:val="auto"/>
          <w:szCs w:val="32"/>
          <w:highlight w:val="none"/>
        </w:rPr>
        <w:t>20mg/m</w:t>
      </w:r>
      <w:r>
        <w:rPr>
          <w:rFonts w:cs="Times New Roman"/>
          <w:color w:val="auto"/>
          <w:szCs w:val="32"/>
          <w:highlight w:val="none"/>
          <w:vertAlign w:val="superscript"/>
        </w:rPr>
        <w:t>3</w:t>
      </w:r>
      <w:r>
        <w:rPr>
          <w:rFonts w:cs="Times New Roman"/>
          <w:color w:val="auto"/>
          <w:szCs w:val="32"/>
          <w:highlight w:val="none"/>
        </w:rPr>
        <w:t>的比率为97.2%</w:t>
      </w:r>
      <w:r>
        <w:rPr>
          <w:rFonts w:cs="Times New Roman"/>
          <w:color w:val="auto"/>
          <w:highlight w:val="none"/>
        </w:rPr>
        <w:t>，在线监控数据小时均值低于</w:t>
      </w:r>
      <w:r>
        <w:rPr>
          <w:rFonts w:cs="Times New Roman"/>
          <w:color w:val="auto"/>
          <w:szCs w:val="32"/>
          <w:highlight w:val="none"/>
        </w:rPr>
        <w:t>20mg/m</w:t>
      </w:r>
      <w:r>
        <w:rPr>
          <w:rFonts w:cs="Times New Roman"/>
          <w:color w:val="auto"/>
          <w:szCs w:val="32"/>
          <w:highlight w:val="none"/>
          <w:vertAlign w:val="superscript"/>
        </w:rPr>
        <w:t>3</w:t>
      </w:r>
      <w:r>
        <w:rPr>
          <w:rFonts w:cs="Times New Roman"/>
          <w:color w:val="auto"/>
          <w:szCs w:val="32"/>
          <w:highlight w:val="none"/>
        </w:rPr>
        <w:t>的比率为83.2%；</w:t>
      </w:r>
      <w:r>
        <w:rPr>
          <w:rFonts w:cs="Times New Roman"/>
          <w:color w:val="auto"/>
          <w:highlight w:val="none"/>
        </w:rPr>
        <w:t>在线监控数据</w:t>
      </w:r>
      <w:r>
        <w:rPr>
          <w:rFonts w:hint="eastAsia" w:cs="Times New Roman"/>
          <w:color w:val="auto"/>
          <w:highlight w:val="none"/>
        </w:rPr>
        <w:t>日</w:t>
      </w:r>
      <w:r>
        <w:rPr>
          <w:rFonts w:cs="Times New Roman"/>
          <w:color w:val="auto"/>
          <w:highlight w:val="none"/>
        </w:rPr>
        <w:t>均值低于</w:t>
      </w:r>
      <w:r>
        <w:rPr>
          <w:rFonts w:cs="Times New Roman"/>
          <w:color w:val="auto"/>
          <w:szCs w:val="32"/>
          <w:highlight w:val="none"/>
        </w:rPr>
        <w:t>10 mg/m</w:t>
      </w:r>
      <w:r>
        <w:rPr>
          <w:rFonts w:cs="Times New Roman"/>
          <w:color w:val="auto"/>
          <w:szCs w:val="32"/>
          <w:highlight w:val="none"/>
          <w:vertAlign w:val="superscript"/>
        </w:rPr>
        <w:t>3</w:t>
      </w:r>
      <w:r>
        <w:rPr>
          <w:rFonts w:cs="Times New Roman"/>
          <w:color w:val="auto"/>
          <w:szCs w:val="32"/>
          <w:highlight w:val="none"/>
        </w:rPr>
        <w:t>的比率为69.2%。</w:t>
      </w:r>
    </w:p>
    <w:p>
      <w:pPr>
        <w:numPr>
          <w:ilvl w:val="0"/>
          <w:numId w:val="4"/>
        </w:numPr>
        <w:ind w:firstLine="640"/>
        <w:rPr>
          <w:rFonts w:cs="Times New Roman"/>
          <w:color w:val="auto"/>
          <w:szCs w:val="32"/>
          <w:highlight w:val="none"/>
        </w:rPr>
      </w:pPr>
      <w:r>
        <w:rPr>
          <w:rFonts w:cs="Times New Roman"/>
          <w:color w:val="auto"/>
          <w:szCs w:val="32"/>
          <w:highlight w:val="none"/>
        </w:rPr>
        <w:t>手工监测数据</w:t>
      </w:r>
    </w:p>
    <w:p>
      <w:pPr>
        <w:ind w:firstLine="640"/>
        <w:rPr>
          <w:rFonts w:cs="Times New Roman"/>
          <w:color w:val="auto"/>
          <w:szCs w:val="32"/>
          <w:highlight w:val="none"/>
        </w:rPr>
      </w:pPr>
      <w:r>
        <w:rPr>
          <w:rFonts w:cs="Times New Roman"/>
          <w:color w:val="auto"/>
          <w:szCs w:val="32"/>
          <w:highlight w:val="none"/>
        </w:rPr>
        <w:t>根据2021年手工监测数据统计（11家企业），生活垃圾焚烧企业氯化氢小时浓度范围为1.43~20.8mg/m</w:t>
      </w:r>
      <w:r>
        <w:rPr>
          <w:rFonts w:cs="Times New Roman"/>
          <w:color w:val="auto"/>
          <w:szCs w:val="32"/>
          <w:highlight w:val="none"/>
          <w:vertAlign w:val="superscript"/>
        </w:rPr>
        <w:t>3</w:t>
      </w:r>
      <w:bookmarkStart w:id="122" w:name="_Hlk120554083"/>
      <w:r>
        <w:rPr>
          <w:rFonts w:cs="Times New Roman"/>
          <w:color w:val="auto"/>
          <w:szCs w:val="32"/>
          <w:highlight w:val="none"/>
        </w:rPr>
        <w:t>，</w:t>
      </w:r>
      <w:bookmarkEnd w:id="122"/>
      <w:r>
        <w:rPr>
          <w:rFonts w:cs="Times New Roman"/>
          <w:color w:val="auto"/>
          <w:szCs w:val="32"/>
          <w:highlight w:val="none"/>
        </w:rPr>
        <w:t>其中氯化氢小时浓度低于</w:t>
      </w:r>
      <w:bookmarkStart w:id="123" w:name="_Hlk120554131"/>
      <w:r>
        <w:rPr>
          <w:rFonts w:cs="Times New Roman"/>
          <w:color w:val="auto"/>
          <w:szCs w:val="32"/>
          <w:highlight w:val="none"/>
        </w:rPr>
        <w:t>20 mg/m</w:t>
      </w:r>
      <w:r>
        <w:rPr>
          <w:rFonts w:cs="Times New Roman"/>
          <w:color w:val="auto"/>
          <w:szCs w:val="32"/>
          <w:highlight w:val="none"/>
          <w:vertAlign w:val="superscript"/>
        </w:rPr>
        <w:t>3</w:t>
      </w:r>
      <w:r>
        <w:rPr>
          <w:rFonts w:cs="Times New Roman"/>
          <w:color w:val="auto"/>
          <w:szCs w:val="32"/>
          <w:highlight w:val="none"/>
        </w:rPr>
        <w:t>的比率为97.2%</w:t>
      </w:r>
      <w:bookmarkEnd w:id="123"/>
      <w:r>
        <w:rPr>
          <w:rFonts w:cs="Times New Roman"/>
          <w:color w:val="auto"/>
          <w:szCs w:val="32"/>
          <w:highlight w:val="none"/>
        </w:rPr>
        <w:t>，高于20 mg/m</w:t>
      </w:r>
      <w:r>
        <w:rPr>
          <w:rFonts w:cs="Times New Roman"/>
          <w:color w:val="auto"/>
          <w:szCs w:val="32"/>
          <w:highlight w:val="none"/>
          <w:vertAlign w:val="superscript"/>
        </w:rPr>
        <w:t>3</w:t>
      </w:r>
      <w:r>
        <w:rPr>
          <w:rFonts w:cs="Times New Roman"/>
          <w:color w:val="auto"/>
          <w:szCs w:val="32"/>
          <w:highlight w:val="none"/>
        </w:rPr>
        <w:t>的比率为2.8%。</w:t>
      </w:r>
    </w:p>
    <w:p>
      <w:pPr>
        <w:ind w:firstLine="640"/>
        <w:rPr>
          <w:rFonts w:cs="Times New Roman"/>
          <w:color w:val="auto"/>
          <w:szCs w:val="32"/>
          <w:highlight w:val="none"/>
        </w:rPr>
      </w:pPr>
      <w:r>
        <w:rPr>
          <w:rFonts w:cs="Times New Roman"/>
          <w:color w:val="auto"/>
          <w:szCs w:val="32"/>
          <w:highlight w:val="none"/>
        </w:rPr>
        <w:t>（2）在线监控数据</w:t>
      </w:r>
    </w:p>
    <w:p>
      <w:pPr>
        <w:ind w:firstLine="704" w:firstLineChars="220"/>
        <w:rPr>
          <w:rFonts w:cs="Times New Roman"/>
          <w:color w:val="auto"/>
          <w:szCs w:val="32"/>
          <w:highlight w:val="none"/>
        </w:rPr>
      </w:pPr>
      <w:r>
        <w:rPr>
          <w:rFonts w:cs="Times New Roman"/>
          <w:color w:val="auto"/>
          <w:szCs w:val="32"/>
          <w:highlight w:val="none"/>
        </w:rPr>
        <w:t>统计已安装自动监控设施的41家生活垃圾焚烧企业2021年在线监控数据，结果显示：</w:t>
      </w:r>
    </w:p>
    <w:p>
      <w:pPr>
        <w:ind w:firstLine="704" w:firstLineChars="220"/>
        <w:rPr>
          <w:rFonts w:cs="Times New Roman"/>
          <w:color w:val="auto"/>
          <w:szCs w:val="32"/>
          <w:highlight w:val="none"/>
        </w:rPr>
      </w:pPr>
      <w:r>
        <w:rPr>
          <w:rFonts w:cs="Times New Roman"/>
          <w:color w:val="auto"/>
          <w:szCs w:val="32"/>
          <w:highlight w:val="none"/>
        </w:rPr>
        <w:t>①小时浓度</w:t>
      </w:r>
    </w:p>
    <w:p>
      <w:pPr>
        <w:ind w:firstLine="640"/>
        <w:rPr>
          <w:rFonts w:cs="Times New Roman"/>
          <w:color w:val="auto"/>
          <w:szCs w:val="32"/>
          <w:highlight w:val="none"/>
        </w:rPr>
      </w:pPr>
      <w:r>
        <w:rPr>
          <w:rFonts w:cs="Times New Roman"/>
          <w:color w:val="auto"/>
          <w:szCs w:val="32"/>
          <w:highlight w:val="none"/>
        </w:rPr>
        <w:t>氯化氢小时浓度有效数据503796个，小时浓度范围为1.4~38.8mg/m</w:t>
      </w:r>
      <w:r>
        <w:rPr>
          <w:rFonts w:cs="Times New Roman"/>
          <w:color w:val="auto"/>
          <w:szCs w:val="32"/>
          <w:highlight w:val="none"/>
          <w:vertAlign w:val="superscript"/>
        </w:rPr>
        <w:t>3</w:t>
      </w:r>
      <w:r>
        <w:rPr>
          <w:rFonts w:cs="Times New Roman"/>
          <w:color w:val="auto"/>
          <w:szCs w:val="32"/>
          <w:highlight w:val="none"/>
        </w:rPr>
        <w:t xml:space="preserve">，平均值为11.1 </w:t>
      </w:r>
      <w:bookmarkStart w:id="124" w:name="_Hlk120554479"/>
      <w:r>
        <w:rPr>
          <w:rFonts w:cs="Times New Roman"/>
          <w:color w:val="auto"/>
          <w:szCs w:val="32"/>
          <w:highlight w:val="none"/>
        </w:rPr>
        <w:t>mg/m</w:t>
      </w:r>
      <w:r>
        <w:rPr>
          <w:rFonts w:cs="Times New Roman"/>
          <w:color w:val="auto"/>
          <w:szCs w:val="32"/>
          <w:highlight w:val="none"/>
          <w:vertAlign w:val="superscript"/>
        </w:rPr>
        <w:t>3</w:t>
      </w:r>
      <w:bookmarkEnd w:id="124"/>
      <w:r>
        <w:rPr>
          <w:rFonts w:cs="Times New Roman"/>
          <w:color w:val="auto"/>
          <w:szCs w:val="32"/>
          <w:highlight w:val="none"/>
        </w:rPr>
        <w:t>，氯化氢小时浓度低于20 mg/m</w:t>
      </w:r>
      <w:r>
        <w:rPr>
          <w:rFonts w:cs="Times New Roman"/>
          <w:color w:val="auto"/>
          <w:szCs w:val="32"/>
          <w:highlight w:val="none"/>
          <w:vertAlign w:val="superscript"/>
        </w:rPr>
        <w:t>3</w:t>
      </w:r>
      <w:r>
        <w:rPr>
          <w:rFonts w:cs="Times New Roman"/>
          <w:color w:val="auto"/>
          <w:szCs w:val="32"/>
          <w:highlight w:val="none"/>
        </w:rPr>
        <w:t>的数据比率为83.2%，大于20 mg/m</w:t>
      </w:r>
      <w:r>
        <w:rPr>
          <w:rFonts w:cs="Times New Roman"/>
          <w:color w:val="auto"/>
          <w:szCs w:val="32"/>
          <w:highlight w:val="none"/>
          <w:vertAlign w:val="superscript"/>
        </w:rPr>
        <w:t>3</w:t>
      </w:r>
      <w:r>
        <w:rPr>
          <w:rFonts w:cs="Times New Roman"/>
          <w:color w:val="auto"/>
          <w:szCs w:val="32"/>
          <w:highlight w:val="none"/>
        </w:rPr>
        <w:t>数据比率为16.9%。企业氯化氢小时浓度现状排放水平见表5.4-3。</w:t>
      </w:r>
    </w:p>
    <w:p>
      <w:pPr>
        <w:tabs>
          <w:tab w:val="left" w:pos="360"/>
        </w:tabs>
        <w:ind w:firstLine="0" w:firstLineChars="0"/>
        <w:jc w:val="both"/>
        <w:rPr>
          <w:rFonts w:cs="Times New Roman"/>
          <w:b/>
          <w:bCs/>
          <w:color w:val="auto"/>
          <w:szCs w:val="32"/>
          <w:highlight w:val="none"/>
        </w:rPr>
      </w:pPr>
      <w:r>
        <w:rPr>
          <w:rFonts w:cs="Times New Roman"/>
          <w:b/>
          <w:bCs/>
          <w:color w:val="auto"/>
          <w:szCs w:val="32"/>
          <w:highlight w:val="none"/>
        </w:rPr>
        <w:t xml:space="preserve">表5.4-3  </w:t>
      </w:r>
      <w:bookmarkStart w:id="125" w:name="_Hlk120554678"/>
      <w:r>
        <w:rPr>
          <w:rFonts w:hint="eastAsia" w:cs="Times New Roman"/>
          <w:b/>
          <w:bCs/>
          <w:color w:val="auto"/>
          <w:szCs w:val="32"/>
          <w:highlight w:val="none"/>
          <w:lang w:val="en-US" w:eastAsia="zh-CN"/>
        </w:rPr>
        <w:t xml:space="preserve">    </w:t>
      </w:r>
      <w:r>
        <w:rPr>
          <w:rFonts w:cs="Times New Roman"/>
          <w:b/>
          <w:bCs/>
          <w:color w:val="auto"/>
          <w:szCs w:val="32"/>
          <w:highlight w:val="none"/>
        </w:rPr>
        <w:t>企业氯化氢小时浓度现状排放水平</w:t>
      </w:r>
      <w:bookmarkEnd w:id="125"/>
    </w:p>
    <w:tbl>
      <w:tblPr>
        <w:tblStyle w:val="13"/>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074"/>
        <w:gridCol w:w="1517"/>
        <w:gridCol w:w="1517"/>
        <w:gridCol w:w="1517"/>
        <w:gridCol w:w="1474"/>
        <w:gridCol w:w="1423"/>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630"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主要污染物</w:t>
            </w:r>
          </w:p>
        </w:tc>
        <w:tc>
          <w:tcPr>
            <w:tcW w:w="890"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手工监测数据浓度（mg/m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890"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自动监控平均浓度（mg/m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890"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浓度分类（mg/m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864"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手工监测数据占比（%）</w:t>
            </w:r>
          </w:p>
        </w:tc>
        <w:tc>
          <w:tcPr>
            <w:tcW w:w="834"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自动监控数据占比（%）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630"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氯化氢</w:t>
            </w:r>
          </w:p>
        </w:tc>
        <w:tc>
          <w:tcPr>
            <w:tcW w:w="890"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1.43~20.8</w:t>
            </w:r>
          </w:p>
        </w:tc>
        <w:tc>
          <w:tcPr>
            <w:tcW w:w="890"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1.4~38.8</w:t>
            </w:r>
          </w:p>
        </w:tc>
        <w:tc>
          <w:tcPr>
            <w:tcW w:w="89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＜10</w:t>
            </w:r>
          </w:p>
        </w:tc>
        <w:tc>
          <w:tcPr>
            <w:tcW w:w="864"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75</w:t>
            </w:r>
          </w:p>
        </w:tc>
        <w:tc>
          <w:tcPr>
            <w:tcW w:w="834" w:type="pct"/>
            <w:shd w:val="clear" w:color="auto" w:fill="auto"/>
            <w:noWrap/>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70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630" w:type="pct"/>
            <w:vMerge w:val="continue"/>
            <w:vAlign w:val="center"/>
          </w:tcPr>
          <w:p>
            <w:pPr>
              <w:ind w:firstLine="0" w:firstLineChars="0"/>
              <w:jc w:val="center"/>
              <w:rPr>
                <w:rFonts w:cs="Times New Roman"/>
                <w:color w:val="auto"/>
                <w:sz w:val="24"/>
                <w:szCs w:val="24"/>
                <w:highlight w:val="none"/>
              </w:rPr>
            </w:pPr>
          </w:p>
        </w:tc>
        <w:tc>
          <w:tcPr>
            <w:tcW w:w="890" w:type="pct"/>
            <w:vMerge w:val="continue"/>
            <w:vAlign w:val="center"/>
          </w:tcPr>
          <w:p>
            <w:pPr>
              <w:ind w:firstLine="0" w:firstLineChars="0"/>
              <w:jc w:val="center"/>
              <w:rPr>
                <w:rFonts w:cs="Times New Roman"/>
                <w:color w:val="auto"/>
                <w:sz w:val="24"/>
                <w:szCs w:val="24"/>
                <w:highlight w:val="none"/>
              </w:rPr>
            </w:pPr>
          </w:p>
        </w:tc>
        <w:tc>
          <w:tcPr>
            <w:tcW w:w="890" w:type="pct"/>
            <w:vMerge w:val="continue"/>
            <w:vAlign w:val="center"/>
          </w:tcPr>
          <w:p>
            <w:pPr>
              <w:ind w:firstLine="0" w:firstLineChars="0"/>
              <w:jc w:val="center"/>
              <w:rPr>
                <w:rFonts w:cs="Times New Roman"/>
                <w:color w:val="auto"/>
                <w:sz w:val="24"/>
                <w:szCs w:val="24"/>
                <w:highlight w:val="none"/>
              </w:rPr>
            </w:pPr>
          </w:p>
        </w:tc>
        <w:tc>
          <w:tcPr>
            <w:tcW w:w="89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10～20</w:t>
            </w:r>
          </w:p>
        </w:tc>
        <w:tc>
          <w:tcPr>
            <w:tcW w:w="864"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22.2</w:t>
            </w:r>
          </w:p>
        </w:tc>
        <w:tc>
          <w:tcPr>
            <w:tcW w:w="834" w:type="pct"/>
            <w:shd w:val="clear" w:color="auto" w:fill="auto"/>
            <w:noWrap/>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13.2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630" w:type="pct"/>
            <w:vMerge w:val="continue"/>
            <w:vAlign w:val="center"/>
          </w:tcPr>
          <w:p>
            <w:pPr>
              <w:ind w:firstLine="0" w:firstLineChars="0"/>
              <w:jc w:val="center"/>
              <w:rPr>
                <w:rFonts w:cs="Times New Roman"/>
                <w:color w:val="auto"/>
                <w:sz w:val="24"/>
                <w:szCs w:val="24"/>
                <w:highlight w:val="none"/>
              </w:rPr>
            </w:pPr>
          </w:p>
        </w:tc>
        <w:tc>
          <w:tcPr>
            <w:tcW w:w="890" w:type="pct"/>
            <w:vMerge w:val="continue"/>
            <w:vAlign w:val="center"/>
          </w:tcPr>
          <w:p>
            <w:pPr>
              <w:ind w:firstLine="0" w:firstLineChars="0"/>
              <w:jc w:val="center"/>
              <w:rPr>
                <w:rFonts w:cs="Times New Roman"/>
                <w:color w:val="auto"/>
                <w:sz w:val="24"/>
                <w:szCs w:val="24"/>
                <w:highlight w:val="none"/>
              </w:rPr>
            </w:pPr>
          </w:p>
        </w:tc>
        <w:tc>
          <w:tcPr>
            <w:tcW w:w="890" w:type="pct"/>
            <w:vMerge w:val="continue"/>
            <w:vAlign w:val="center"/>
          </w:tcPr>
          <w:p>
            <w:pPr>
              <w:ind w:firstLine="0" w:firstLineChars="0"/>
              <w:jc w:val="center"/>
              <w:rPr>
                <w:rFonts w:cs="Times New Roman"/>
                <w:color w:val="auto"/>
                <w:sz w:val="24"/>
                <w:szCs w:val="24"/>
                <w:highlight w:val="none"/>
              </w:rPr>
            </w:pPr>
          </w:p>
        </w:tc>
        <w:tc>
          <w:tcPr>
            <w:tcW w:w="89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≥20</w:t>
            </w:r>
          </w:p>
        </w:tc>
        <w:tc>
          <w:tcPr>
            <w:tcW w:w="864"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2.8</w:t>
            </w:r>
          </w:p>
        </w:tc>
        <w:tc>
          <w:tcPr>
            <w:tcW w:w="834" w:type="pct"/>
            <w:shd w:val="clear" w:color="auto" w:fill="auto"/>
            <w:noWrap/>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16.9</w:t>
            </w:r>
          </w:p>
        </w:tc>
      </w:tr>
    </w:tbl>
    <w:p>
      <w:pPr>
        <w:spacing w:line="240" w:lineRule="exact"/>
        <w:ind w:firstLine="640"/>
        <w:rPr>
          <w:rFonts w:cs="Times New Roman"/>
          <w:color w:val="auto"/>
          <w:szCs w:val="32"/>
          <w:highlight w:val="none"/>
        </w:rPr>
      </w:pPr>
    </w:p>
    <w:p>
      <w:pPr>
        <w:ind w:firstLine="704" w:firstLineChars="220"/>
        <w:rPr>
          <w:rFonts w:cs="Times New Roman"/>
          <w:color w:val="auto"/>
          <w:szCs w:val="32"/>
          <w:highlight w:val="none"/>
        </w:rPr>
      </w:pPr>
      <w:r>
        <w:rPr>
          <w:rFonts w:cs="Times New Roman"/>
          <w:color w:val="auto"/>
          <w:szCs w:val="32"/>
          <w:highlight w:val="none"/>
        </w:rPr>
        <w:t>②日均值浓度</w:t>
      </w:r>
    </w:p>
    <w:p>
      <w:pPr>
        <w:ind w:firstLine="640"/>
        <w:rPr>
          <w:rFonts w:cs="Times New Roman"/>
          <w:color w:val="auto"/>
          <w:szCs w:val="32"/>
          <w:highlight w:val="none"/>
        </w:rPr>
      </w:pPr>
      <w:r>
        <w:rPr>
          <w:rFonts w:cs="Times New Roman"/>
          <w:color w:val="auto"/>
          <w:szCs w:val="32"/>
          <w:highlight w:val="none"/>
        </w:rPr>
        <w:t>氯化氢有日均值有效数据20854个，浓度值范围为1.4~38.5 mg/m</w:t>
      </w:r>
      <w:r>
        <w:rPr>
          <w:rFonts w:cs="Times New Roman"/>
          <w:color w:val="auto"/>
          <w:szCs w:val="32"/>
          <w:highlight w:val="none"/>
          <w:vertAlign w:val="superscript"/>
        </w:rPr>
        <w:t>3</w:t>
      </w:r>
      <w:r>
        <w:rPr>
          <w:rFonts w:cs="Times New Roman"/>
          <w:color w:val="auto"/>
          <w:szCs w:val="32"/>
          <w:highlight w:val="none"/>
        </w:rPr>
        <w:t>，平均值为14.4 mg/m</w:t>
      </w:r>
      <w:r>
        <w:rPr>
          <w:rFonts w:cs="Times New Roman"/>
          <w:color w:val="auto"/>
          <w:szCs w:val="32"/>
          <w:highlight w:val="none"/>
          <w:vertAlign w:val="superscript"/>
        </w:rPr>
        <w:t>3</w:t>
      </w:r>
      <w:r>
        <w:rPr>
          <w:rFonts w:cs="Times New Roman"/>
          <w:color w:val="auto"/>
          <w:szCs w:val="32"/>
          <w:highlight w:val="none"/>
        </w:rPr>
        <w:t>，氯化氢日均值浓度低于10 mg/m</w:t>
      </w:r>
      <w:r>
        <w:rPr>
          <w:rFonts w:cs="Times New Roman"/>
          <w:color w:val="auto"/>
          <w:szCs w:val="32"/>
          <w:highlight w:val="none"/>
          <w:vertAlign w:val="superscript"/>
        </w:rPr>
        <w:t>3</w:t>
      </w:r>
      <w:r>
        <w:rPr>
          <w:rFonts w:cs="Times New Roman"/>
          <w:color w:val="auto"/>
          <w:szCs w:val="32"/>
          <w:highlight w:val="none"/>
        </w:rPr>
        <w:t>的数据比率为69.2%，高于10 mg/m</w:t>
      </w:r>
      <w:r>
        <w:rPr>
          <w:rFonts w:cs="Times New Roman"/>
          <w:color w:val="auto"/>
          <w:szCs w:val="32"/>
          <w:highlight w:val="none"/>
          <w:vertAlign w:val="superscript"/>
        </w:rPr>
        <w:t>3</w:t>
      </w:r>
      <w:r>
        <w:rPr>
          <w:rFonts w:cs="Times New Roman"/>
          <w:color w:val="auto"/>
          <w:szCs w:val="32"/>
          <w:highlight w:val="none"/>
        </w:rPr>
        <w:t>的数据比率为30.8%。</w:t>
      </w:r>
    </w:p>
    <w:p>
      <w:pPr>
        <w:ind w:left="0" w:leftChars="0" w:firstLine="0" w:firstLineChars="0"/>
        <w:rPr>
          <w:rFonts w:ascii="Times New Roman" w:hAnsi="Times New Roman" w:cs="Times New Roman"/>
          <w:b/>
          <w:bCs/>
          <w:color w:val="auto"/>
          <w:highlight w:val="none"/>
        </w:rPr>
      </w:pPr>
      <w:bookmarkStart w:id="126" w:name="_Hlk120556271"/>
      <w:r>
        <w:rPr>
          <w:rFonts w:hint="eastAsia" w:cs="Times New Roman"/>
          <w:b/>
          <w:bCs/>
          <w:color w:val="auto"/>
          <w:highlight w:val="none"/>
          <w:lang w:val="en-US" w:eastAsia="zh-CN"/>
        </w:rPr>
        <w:t>5.4.2.4</w:t>
      </w:r>
      <w:r>
        <w:rPr>
          <w:rFonts w:ascii="Times New Roman" w:hAnsi="Times New Roman" w:cs="Times New Roman"/>
          <w:b/>
          <w:bCs/>
          <w:color w:val="auto"/>
          <w:highlight w:val="none"/>
        </w:rPr>
        <w:t xml:space="preserve"> 一氧化碳</w:t>
      </w:r>
      <w:bookmarkEnd w:id="126"/>
      <w:r>
        <w:rPr>
          <w:rFonts w:ascii="Times New Roman" w:hAnsi="Times New Roman" w:cs="Times New Roman"/>
          <w:b/>
          <w:bCs/>
          <w:color w:val="auto"/>
          <w:highlight w:val="none"/>
        </w:rPr>
        <w:t>排放限值确定</w:t>
      </w:r>
    </w:p>
    <w:p>
      <w:pPr>
        <w:ind w:firstLine="640"/>
        <w:rPr>
          <w:rFonts w:cs="Times New Roman"/>
          <w:color w:val="auto"/>
          <w:szCs w:val="32"/>
          <w:highlight w:val="none"/>
        </w:rPr>
      </w:pPr>
      <w:r>
        <w:rPr>
          <w:rFonts w:cs="Times New Roman"/>
          <w:color w:val="auto"/>
          <w:szCs w:val="32"/>
          <w:highlight w:val="none"/>
        </w:rPr>
        <w:t>目前，</w:t>
      </w:r>
      <w:bookmarkStart w:id="127" w:name="_Hlk120556619"/>
      <w:r>
        <w:rPr>
          <w:rFonts w:cs="Times New Roman"/>
          <w:color w:val="auto"/>
          <w:szCs w:val="32"/>
          <w:highlight w:val="none"/>
        </w:rPr>
        <w:t>一氧化碳</w:t>
      </w:r>
      <w:bookmarkEnd w:id="127"/>
      <w:r>
        <w:rPr>
          <w:rFonts w:cs="Times New Roman"/>
          <w:color w:val="auto"/>
          <w:szCs w:val="32"/>
          <w:highlight w:val="none"/>
        </w:rPr>
        <w:t>无相关治理措施，本标准参考现行国家《生活垃圾焚烧污染控制标准》（GB18485-2014）及其他省份标准中对一氧化碳排放限值要求，确定生活垃圾焚烧企业一氧化碳小时浓度排放限值为100mg/m</w:t>
      </w:r>
      <w:r>
        <w:rPr>
          <w:rFonts w:cs="Times New Roman"/>
          <w:color w:val="auto"/>
          <w:szCs w:val="32"/>
          <w:highlight w:val="none"/>
          <w:vertAlign w:val="superscript"/>
        </w:rPr>
        <w:t>3</w:t>
      </w:r>
      <w:r>
        <w:rPr>
          <w:rFonts w:cs="Times New Roman"/>
          <w:color w:val="auto"/>
          <w:szCs w:val="32"/>
          <w:highlight w:val="none"/>
        </w:rPr>
        <w:t>，日均值浓度排放限值为80mg/m</w:t>
      </w:r>
      <w:r>
        <w:rPr>
          <w:rFonts w:cs="Times New Roman"/>
          <w:color w:val="auto"/>
          <w:szCs w:val="32"/>
          <w:highlight w:val="none"/>
          <w:vertAlign w:val="superscript"/>
        </w:rPr>
        <w:t>3</w:t>
      </w:r>
      <w:r>
        <w:rPr>
          <w:rFonts w:cs="Times New Roman"/>
          <w:color w:val="auto"/>
          <w:szCs w:val="32"/>
          <w:highlight w:val="none"/>
        </w:rPr>
        <w:t>。</w:t>
      </w:r>
      <w:r>
        <w:rPr>
          <w:rFonts w:cs="Times New Roman"/>
          <w:color w:val="auto"/>
          <w:highlight w:val="none"/>
        </w:rPr>
        <w:t>根据现场监测和数据收集情况，</w:t>
      </w:r>
      <w:r>
        <w:rPr>
          <w:rFonts w:cs="Times New Roman"/>
          <w:color w:val="auto"/>
          <w:szCs w:val="32"/>
          <w:highlight w:val="none"/>
        </w:rPr>
        <w:t>一氧化碳</w:t>
      </w:r>
      <w:r>
        <w:rPr>
          <w:rFonts w:cs="Times New Roman"/>
          <w:color w:val="auto"/>
          <w:highlight w:val="none"/>
        </w:rPr>
        <w:t>手工监测数据小时均值低于</w:t>
      </w:r>
      <w:r>
        <w:rPr>
          <w:rFonts w:cs="Times New Roman"/>
          <w:color w:val="auto"/>
          <w:szCs w:val="32"/>
          <w:highlight w:val="none"/>
        </w:rPr>
        <w:t>100 mg/m</w:t>
      </w:r>
      <w:r>
        <w:rPr>
          <w:rFonts w:cs="Times New Roman"/>
          <w:color w:val="auto"/>
          <w:szCs w:val="32"/>
          <w:highlight w:val="none"/>
          <w:vertAlign w:val="superscript"/>
        </w:rPr>
        <w:t>3</w:t>
      </w:r>
      <w:r>
        <w:rPr>
          <w:rFonts w:cs="Times New Roman"/>
          <w:color w:val="auto"/>
          <w:szCs w:val="32"/>
          <w:highlight w:val="none"/>
        </w:rPr>
        <w:t>的比率为100%</w:t>
      </w:r>
      <w:r>
        <w:rPr>
          <w:rFonts w:cs="Times New Roman"/>
          <w:color w:val="auto"/>
          <w:highlight w:val="none"/>
        </w:rPr>
        <w:t>，在线监控数据小时均值低于</w:t>
      </w:r>
      <w:r>
        <w:rPr>
          <w:rFonts w:cs="Times New Roman"/>
          <w:color w:val="auto"/>
          <w:szCs w:val="32"/>
          <w:highlight w:val="none"/>
        </w:rPr>
        <w:t>100 mg/m</w:t>
      </w:r>
      <w:r>
        <w:rPr>
          <w:rFonts w:cs="Times New Roman"/>
          <w:color w:val="auto"/>
          <w:szCs w:val="32"/>
          <w:highlight w:val="none"/>
          <w:vertAlign w:val="superscript"/>
        </w:rPr>
        <w:t>3</w:t>
      </w:r>
      <w:r>
        <w:rPr>
          <w:rFonts w:cs="Times New Roman"/>
          <w:color w:val="auto"/>
          <w:szCs w:val="32"/>
          <w:highlight w:val="none"/>
        </w:rPr>
        <w:t>的比率为99.8%；</w:t>
      </w:r>
      <w:r>
        <w:rPr>
          <w:rFonts w:cs="Times New Roman"/>
          <w:color w:val="auto"/>
          <w:highlight w:val="none"/>
        </w:rPr>
        <w:t>在线监控数据日均值低于</w:t>
      </w:r>
      <w:r>
        <w:rPr>
          <w:rFonts w:cs="Times New Roman"/>
          <w:color w:val="auto"/>
          <w:szCs w:val="32"/>
          <w:highlight w:val="none"/>
        </w:rPr>
        <w:t>80 mg/m</w:t>
      </w:r>
      <w:r>
        <w:rPr>
          <w:rFonts w:cs="Times New Roman"/>
          <w:color w:val="auto"/>
          <w:szCs w:val="32"/>
          <w:highlight w:val="none"/>
          <w:vertAlign w:val="superscript"/>
        </w:rPr>
        <w:t>3</w:t>
      </w:r>
      <w:r>
        <w:rPr>
          <w:rFonts w:cs="Times New Roman"/>
          <w:color w:val="auto"/>
          <w:szCs w:val="32"/>
          <w:highlight w:val="none"/>
        </w:rPr>
        <w:t>的比率为98.5%。</w:t>
      </w:r>
    </w:p>
    <w:p>
      <w:pPr>
        <w:ind w:firstLine="640"/>
        <w:rPr>
          <w:rFonts w:cs="Times New Roman"/>
          <w:color w:val="auto"/>
          <w:highlight w:val="none"/>
        </w:rPr>
      </w:pPr>
      <w:r>
        <w:rPr>
          <w:rFonts w:cs="Times New Roman"/>
          <w:color w:val="auto"/>
          <w:highlight w:val="none"/>
        </w:rPr>
        <w:t>（1）手工监测数据</w:t>
      </w:r>
    </w:p>
    <w:p>
      <w:pPr>
        <w:ind w:firstLine="640"/>
        <w:rPr>
          <w:rFonts w:cs="Times New Roman"/>
          <w:color w:val="auto"/>
          <w:szCs w:val="32"/>
          <w:highlight w:val="none"/>
        </w:rPr>
      </w:pPr>
      <w:r>
        <w:rPr>
          <w:rFonts w:cs="Times New Roman"/>
          <w:color w:val="auto"/>
          <w:szCs w:val="32"/>
          <w:highlight w:val="none"/>
        </w:rPr>
        <w:t>根据2021年手工监测数据（11家企业），CO小时浓度范围为未检出~16mg/m</w:t>
      </w:r>
      <w:r>
        <w:rPr>
          <w:rFonts w:cs="Times New Roman"/>
          <w:color w:val="auto"/>
          <w:szCs w:val="32"/>
          <w:highlight w:val="none"/>
          <w:vertAlign w:val="superscript"/>
        </w:rPr>
        <w:t>3</w:t>
      </w:r>
      <w:r>
        <w:rPr>
          <w:rFonts w:cs="Times New Roman"/>
          <w:color w:val="auto"/>
          <w:szCs w:val="32"/>
          <w:highlight w:val="none"/>
        </w:rPr>
        <w:t>，低于100mg/m</w:t>
      </w:r>
      <w:r>
        <w:rPr>
          <w:rFonts w:cs="Times New Roman"/>
          <w:color w:val="auto"/>
          <w:szCs w:val="32"/>
          <w:highlight w:val="none"/>
          <w:vertAlign w:val="superscript"/>
        </w:rPr>
        <w:t>3</w:t>
      </w:r>
      <w:r>
        <w:rPr>
          <w:rFonts w:cs="Times New Roman"/>
          <w:color w:val="auto"/>
          <w:szCs w:val="32"/>
          <w:highlight w:val="none"/>
        </w:rPr>
        <w:t>的数据比率为100%。其中小时浓度小于10 mg/m</w:t>
      </w:r>
      <w:r>
        <w:rPr>
          <w:rFonts w:cs="Times New Roman"/>
          <w:color w:val="auto"/>
          <w:szCs w:val="32"/>
          <w:highlight w:val="none"/>
          <w:vertAlign w:val="superscript"/>
        </w:rPr>
        <w:t>3</w:t>
      </w:r>
      <w:r>
        <w:rPr>
          <w:rFonts w:cs="Times New Roman"/>
          <w:color w:val="auto"/>
          <w:szCs w:val="32"/>
          <w:highlight w:val="none"/>
        </w:rPr>
        <w:t>的数据占比为90.6%，大于10 mg/m</w:t>
      </w:r>
      <w:r>
        <w:rPr>
          <w:rFonts w:cs="Times New Roman"/>
          <w:color w:val="auto"/>
          <w:szCs w:val="32"/>
          <w:highlight w:val="none"/>
          <w:vertAlign w:val="superscript"/>
        </w:rPr>
        <w:t>3</w:t>
      </w:r>
      <w:r>
        <w:rPr>
          <w:rFonts w:cs="Times New Roman"/>
          <w:color w:val="auto"/>
          <w:szCs w:val="32"/>
          <w:highlight w:val="none"/>
        </w:rPr>
        <w:t>小于20 mg/m</w:t>
      </w:r>
      <w:r>
        <w:rPr>
          <w:rFonts w:cs="Times New Roman"/>
          <w:color w:val="auto"/>
          <w:szCs w:val="32"/>
          <w:highlight w:val="none"/>
          <w:vertAlign w:val="superscript"/>
        </w:rPr>
        <w:t>3</w:t>
      </w:r>
      <w:r>
        <w:rPr>
          <w:rFonts w:cs="Times New Roman"/>
          <w:color w:val="auto"/>
          <w:szCs w:val="32"/>
          <w:highlight w:val="none"/>
        </w:rPr>
        <w:t>的数据占比为9.4%，无大于20mg/m</w:t>
      </w:r>
      <w:r>
        <w:rPr>
          <w:rFonts w:cs="Times New Roman"/>
          <w:color w:val="auto"/>
          <w:szCs w:val="32"/>
          <w:highlight w:val="none"/>
          <w:vertAlign w:val="superscript"/>
        </w:rPr>
        <w:t>3</w:t>
      </w:r>
      <w:r>
        <w:rPr>
          <w:rFonts w:cs="Times New Roman"/>
          <w:color w:val="auto"/>
          <w:szCs w:val="32"/>
          <w:highlight w:val="none"/>
        </w:rPr>
        <w:t>的数据</w:t>
      </w:r>
      <w:bookmarkStart w:id="128" w:name="_Hlk120555824"/>
      <w:r>
        <w:rPr>
          <w:rFonts w:cs="Times New Roman"/>
          <w:color w:val="auto"/>
          <w:szCs w:val="32"/>
          <w:highlight w:val="none"/>
        </w:rPr>
        <w:t>。</w:t>
      </w:r>
      <w:bookmarkEnd w:id="128"/>
    </w:p>
    <w:p>
      <w:pPr>
        <w:ind w:firstLine="640"/>
        <w:rPr>
          <w:rFonts w:cs="Times New Roman"/>
          <w:color w:val="auto"/>
          <w:szCs w:val="32"/>
          <w:highlight w:val="none"/>
        </w:rPr>
      </w:pPr>
      <w:r>
        <w:rPr>
          <w:rFonts w:cs="Times New Roman"/>
          <w:color w:val="auto"/>
          <w:szCs w:val="32"/>
          <w:highlight w:val="none"/>
        </w:rPr>
        <w:t>（2）在线监控数据</w:t>
      </w:r>
    </w:p>
    <w:p>
      <w:pPr>
        <w:ind w:firstLine="704" w:firstLineChars="220"/>
        <w:rPr>
          <w:rFonts w:cs="Times New Roman"/>
          <w:color w:val="auto"/>
          <w:szCs w:val="32"/>
          <w:highlight w:val="none"/>
        </w:rPr>
      </w:pPr>
      <w:r>
        <w:rPr>
          <w:rFonts w:cs="Times New Roman"/>
          <w:color w:val="auto"/>
          <w:szCs w:val="32"/>
          <w:highlight w:val="none"/>
        </w:rPr>
        <w:t>统计已安装自动监控设施的41家生活垃圾焚烧企业2021年在线监控数据，结果显示：</w:t>
      </w:r>
    </w:p>
    <w:p>
      <w:pPr>
        <w:ind w:firstLine="704" w:firstLineChars="220"/>
        <w:rPr>
          <w:rFonts w:cs="Times New Roman"/>
          <w:color w:val="auto"/>
          <w:szCs w:val="32"/>
          <w:highlight w:val="none"/>
        </w:rPr>
      </w:pPr>
      <w:r>
        <w:rPr>
          <w:rFonts w:cs="Times New Roman"/>
          <w:color w:val="auto"/>
          <w:szCs w:val="32"/>
          <w:highlight w:val="none"/>
        </w:rPr>
        <w:t>①小时浓度</w:t>
      </w:r>
    </w:p>
    <w:p>
      <w:pPr>
        <w:ind w:firstLine="704" w:firstLineChars="220"/>
        <w:rPr>
          <w:rFonts w:cs="Times New Roman"/>
          <w:color w:val="auto"/>
          <w:szCs w:val="32"/>
          <w:highlight w:val="none"/>
        </w:rPr>
      </w:pPr>
      <w:r>
        <w:rPr>
          <w:rFonts w:cs="Times New Roman"/>
          <w:color w:val="auto"/>
          <w:szCs w:val="32"/>
          <w:highlight w:val="none"/>
        </w:rPr>
        <w:t>一氧化碳小时浓度有效数据473585个，小时浓度范围为1~207.7 mg/m</w:t>
      </w:r>
      <w:r>
        <w:rPr>
          <w:rFonts w:cs="Times New Roman"/>
          <w:color w:val="auto"/>
          <w:szCs w:val="32"/>
          <w:highlight w:val="none"/>
          <w:vertAlign w:val="superscript"/>
        </w:rPr>
        <w:t>3</w:t>
      </w:r>
      <w:r>
        <w:rPr>
          <w:rFonts w:cs="Times New Roman"/>
          <w:color w:val="auto"/>
          <w:szCs w:val="32"/>
          <w:highlight w:val="none"/>
        </w:rPr>
        <w:t>，平均值为17mg/m</w:t>
      </w:r>
      <w:r>
        <w:rPr>
          <w:rFonts w:cs="Times New Roman"/>
          <w:color w:val="auto"/>
          <w:szCs w:val="32"/>
          <w:highlight w:val="none"/>
          <w:vertAlign w:val="superscript"/>
        </w:rPr>
        <w:t>3</w:t>
      </w:r>
      <w:r>
        <w:rPr>
          <w:rFonts w:cs="Times New Roman"/>
          <w:color w:val="auto"/>
          <w:szCs w:val="32"/>
          <w:highlight w:val="none"/>
        </w:rPr>
        <w:t>，小时浓度小于</w:t>
      </w:r>
      <w:bookmarkStart w:id="129" w:name="_Hlk120555808"/>
      <w:r>
        <w:rPr>
          <w:rFonts w:cs="Times New Roman"/>
          <w:color w:val="auto"/>
          <w:szCs w:val="32"/>
          <w:highlight w:val="none"/>
        </w:rPr>
        <w:t>100mg/m</w:t>
      </w:r>
      <w:r>
        <w:rPr>
          <w:rFonts w:cs="Times New Roman"/>
          <w:color w:val="auto"/>
          <w:szCs w:val="32"/>
          <w:highlight w:val="none"/>
          <w:vertAlign w:val="superscript"/>
        </w:rPr>
        <w:t>3</w:t>
      </w:r>
      <w:r>
        <w:rPr>
          <w:rFonts w:cs="Times New Roman"/>
          <w:color w:val="auto"/>
          <w:szCs w:val="32"/>
          <w:highlight w:val="none"/>
        </w:rPr>
        <w:t>的数据占比为99.8%</w:t>
      </w:r>
      <w:bookmarkEnd w:id="129"/>
      <w:r>
        <w:rPr>
          <w:rFonts w:cs="Times New Roman"/>
          <w:color w:val="auto"/>
          <w:szCs w:val="32"/>
          <w:highlight w:val="none"/>
        </w:rPr>
        <w:t>，高于100mg/m</w:t>
      </w:r>
      <w:r>
        <w:rPr>
          <w:rFonts w:cs="Times New Roman"/>
          <w:color w:val="auto"/>
          <w:szCs w:val="32"/>
          <w:highlight w:val="none"/>
          <w:vertAlign w:val="superscript"/>
        </w:rPr>
        <w:t>3</w:t>
      </w:r>
      <w:r>
        <w:rPr>
          <w:rFonts w:cs="Times New Roman"/>
          <w:color w:val="auto"/>
          <w:szCs w:val="32"/>
          <w:highlight w:val="none"/>
        </w:rPr>
        <w:t>的数据占比为0.2%。其中，小时浓度小于30 mg/m</w:t>
      </w:r>
      <w:r>
        <w:rPr>
          <w:rFonts w:cs="Times New Roman"/>
          <w:color w:val="auto"/>
          <w:szCs w:val="32"/>
          <w:highlight w:val="none"/>
          <w:vertAlign w:val="superscript"/>
        </w:rPr>
        <w:t>3</w:t>
      </w:r>
      <w:r>
        <w:rPr>
          <w:rFonts w:cs="Times New Roman"/>
          <w:color w:val="auto"/>
          <w:szCs w:val="32"/>
          <w:highlight w:val="none"/>
        </w:rPr>
        <w:t>的比例为93.8%；30~50mg/m</w:t>
      </w:r>
      <w:r>
        <w:rPr>
          <w:rFonts w:cs="Times New Roman"/>
          <w:color w:val="auto"/>
          <w:szCs w:val="32"/>
          <w:highlight w:val="none"/>
          <w:vertAlign w:val="superscript"/>
        </w:rPr>
        <w:t>3</w:t>
      </w:r>
      <w:r>
        <w:rPr>
          <w:rFonts w:cs="Times New Roman"/>
          <w:color w:val="auto"/>
          <w:szCs w:val="32"/>
          <w:highlight w:val="none"/>
        </w:rPr>
        <w:t>比例为2.6%；50~100 mg/m</w:t>
      </w:r>
      <w:r>
        <w:rPr>
          <w:rFonts w:cs="Times New Roman"/>
          <w:color w:val="auto"/>
          <w:szCs w:val="32"/>
          <w:highlight w:val="none"/>
          <w:vertAlign w:val="superscript"/>
        </w:rPr>
        <w:t>3</w:t>
      </w:r>
      <w:r>
        <w:rPr>
          <w:rFonts w:cs="Times New Roman"/>
          <w:color w:val="auto"/>
          <w:szCs w:val="32"/>
          <w:highlight w:val="none"/>
        </w:rPr>
        <w:t>比例为3.5%；小时浓度大于</w:t>
      </w:r>
      <w:bookmarkStart w:id="130" w:name="_Hlk120555661"/>
      <w:r>
        <w:rPr>
          <w:rFonts w:cs="Times New Roman"/>
          <w:color w:val="auto"/>
          <w:szCs w:val="32"/>
          <w:highlight w:val="none"/>
        </w:rPr>
        <w:t>100 mg/m</w:t>
      </w:r>
      <w:r>
        <w:rPr>
          <w:rFonts w:cs="Times New Roman"/>
          <w:color w:val="auto"/>
          <w:szCs w:val="32"/>
          <w:highlight w:val="none"/>
          <w:vertAlign w:val="superscript"/>
        </w:rPr>
        <w:t>3</w:t>
      </w:r>
      <w:r>
        <w:rPr>
          <w:rFonts w:cs="Times New Roman"/>
          <w:color w:val="auto"/>
          <w:szCs w:val="32"/>
          <w:highlight w:val="none"/>
        </w:rPr>
        <w:t>以上的比例占0.2%</w:t>
      </w:r>
      <w:bookmarkEnd w:id="130"/>
      <w:r>
        <w:rPr>
          <w:rFonts w:cs="Times New Roman"/>
          <w:color w:val="auto"/>
          <w:szCs w:val="32"/>
          <w:highlight w:val="none"/>
        </w:rPr>
        <w:t>。企业一氧化碳现状排放水平见表5.4-4。</w:t>
      </w:r>
    </w:p>
    <w:p>
      <w:pPr>
        <w:tabs>
          <w:tab w:val="left" w:pos="360"/>
        </w:tabs>
        <w:ind w:firstLine="0" w:firstLineChars="0"/>
        <w:jc w:val="both"/>
        <w:rPr>
          <w:rFonts w:cs="Times New Roman"/>
          <w:b/>
          <w:bCs/>
          <w:color w:val="auto"/>
          <w:szCs w:val="32"/>
          <w:highlight w:val="none"/>
        </w:rPr>
      </w:pPr>
      <w:r>
        <w:rPr>
          <w:rFonts w:cs="Times New Roman"/>
          <w:b/>
          <w:bCs/>
          <w:color w:val="auto"/>
          <w:szCs w:val="32"/>
          <w:highlight w:val="none"/>
        </w:rPr>
        <w:t xml:space="preserve">表5.4-4 </w:t>
      </w:r>
      <w:r>
        <w:rPr>
          <w:rFonts w:hint="eastAsia" w:cs="Times New Roman"/>
          <w:b/>
          <w:bCs/>
          <w:color w:val="auto"/>
          <w:szCs w:val="32"/>
          <w:highlight w:val="none"/>
          <w:lang w:val="en-US" w:eastAsia="zh-CN"/>
        </w:rPr>
        <w:t xml:space="preserve">      </w:t>
      </w:r>
      <w:r>
        <w:rPr>
          <w:rFonts w:cs="Times New Roman"/>
          <w:b/>
          <w:bCs/>
          <w:color w:val="auto"/>
          <w:szCs w:val="32"/>
          <w:highlight w:val="none"/>
        </w:rPr>
        <w:t>企业一氧化碳现状排放水平</w:t>
      </w:r>
    </w:p>
    <w:tbl>
      <w:tblPr>
        <w:tblStyle w:val="13"/>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074"/>
        <w:gridCol w:w="1517"/>
        <w:gridCol w:w="1517"/>
        <w:gridCol w:w="1517"/>
        <w:gridCol w:w="1474"/>
        <w:gridCol w:w="1423"/>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630"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主要污染物</w:t>
            </w:r>
          </w:p>
        </w:tc>
        <w:tc>
          <w:tcPr>
            <w:tcW w:w="890"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手工监测数据（mg/m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890"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自动监控数据（mg/m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890"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浓度分类（mg/m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864"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手工监测数据占比（%）</w:t>
            </w:r>
          </w:p>
        </w:tc>
        <w:tc>
          <w:tcPr>
            <w:tcW w:w="834"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自动监控数据占比（%）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630"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CO</w:t>
            </w:r>
          </w:p>
        </w:tc>
        <w:tc>
          <w:tcPr>
            <w:tcW w:w="890"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未检出~16</w:t>
            </w:r>
          </w:p>
        </w:tc>
        <w:tc>
          <w:tcPr>
            <w:tcW w:w="890"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1~207.7</w:t>
            </w:r>
            <w:r>
              <w:rPr>
                <w:rFonts w:cs="Times New Roman"/>
                <w:color w:val="auto"/>
                <w:szCs w:val="32"/>
                <w:highlight w:val="none"/>
              </w:rPr>
              <w:t xml:space="preserve"> </w:t>
            </w:r>
          </w:p>
        </w:tc>
        <w:tc>
          <w:tcPr>
            <w:tcW w:w="89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＜30</w:t>
            </w:r>
          </w:p>
        </w:tc>
        <w:tc>
          <w:tcPr>
            <w:tcW w:w="864"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100</w:t>
            </w:r>
          </w:p>
        </w:tc>
        <w:tc>
          <w:tcPr>
            <w:tcW w:w="834" w:type="pct"/>
            <w:shd w:val="clear" w:color="auto" w:fill="auto"/>
            <w:noWrap/>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93.8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630" w:type="pct"/>
            <w:vMerge w:val="continue"/>
            <w:vAlign w:val="center"/>
          </w:tcPr>
          <w:p>
            <w:pPr>
              <w:ind w:firstLine="0" w:firstLineChars="0"/>
              <w:jc w:val="center"/>
              <w:rPr>
                <w:rFonts w:cs="Times New Roman"/>
                <w:color w:val="auto"/>
                <w:sz w:val="24"/>
                <w:szCs w:val="24"/>
                <w:highlight w:val="none"/>
              </w:rPr>
            </w:pPr>
          </w:p>
        </w:tc>
        <w:tc>
          <w:tcPr>
            <w:tcW w:w="890" w:type="pct"/>
            <w:vMerge w:val="continue"/>
            <w:vAlign w:val="center"/>
          </w:tcPr>
          <w:p>
            <w:pPr>
              <w:ind w:firstLine="0" w:firstLineChars="0"/>
              <w:jc w:val="center"/>
              <w:rPr>
                <w:rFonts w:cs="Times New Roman"/>
                <w:color w:val="auto"/>
                <w:sz w:val="24"/>
                <w:szCs w:val="24"/>
                <w:highlight w:val="none"/>
              </w:rPr>
            </w:pPr>
          </w:p>
        </w:tc>
        <w:tc>
          <w:tcPr>
            <w:tcW w:w="890" w:type="pct"/>
            <w:vMerge w:val="continue"/>
            <w:vAlign w:val="center"/>
          </w:tcPr>
          <w:p>
            <w:pPr>
              <w:ind w:firstLine="0" w:firstLineChars="0"/>
              <w:jc w:val="center"/>
              <w:rPr>
                <w:rFonts w:cs="Times New Roman"/>
                <w:color w:val="auto"/>
                <w:sz w:val="24"/>
                <w:szCs w:val="24"/>
                <w:highlight w:val="none"/>
              </w:rPr>
            </w:pPr>
          </w:p>
        </w:tc>
        <w:tc>
          <w:tcPr>
            <w:tcW w:w="89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30～50</w:t>
            </w:r>
          </w:p>
        </w:tc>
        <w:tc>
          <w:tcPr>
            <w:tcW w:w="864"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0</w:t>
            </w:r>
          </w:p>
        </w:tc>
        <w:tc>
          <w:tcPr>
            <w:tcW w:w="834" w:type="pct"/>
            <w:shd w:val="clear" w:color="auto" w:fill="auto"/>
            <w:noWrap/>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2.6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630" w:type="pct"/>
            <w:vMerge w:val="continue"/>
            <w:vAlign w:val="center"/>
          </w:tcPr>
          <w:p>
            <w:pPr>
              <w:ind w:firstLine="0" w:firstLineChars="0"/>
              <w:jc w:val="center"/>
              <w:rPr>
                <w:rFonts w:cs="Times New Roman"/>
                <w:color w:val="auto"/>
                <w:sz w:val="24"/>
                <w:szCs w:val="24"/>
                <w:highlight w:val="none"/>
              </w:rPr>
            </w:pPr>
          </w:p>
        </w:tc>
        <w:tc>
          <w:tcPr>
            <w:tcW w:w="890" w:type="pct"/>
            <w:vMerge w:val="continue"/>
            <w:vAlign w:val="center"/>
          </w:tcPr>
          <w:p>
            <w:pPr>
              <w:ind w:firstLine="0" w:firstLineChars="0"/>
              <w:jc w:val="center"/>
              <w:rPr>
                <w:rFonts w:cs="Times New Roman"/>
                <w:color w:val="auto"/>
                <w:sz w:val="24"/>
                <w:szCs w:val="24"/>
                <w:highlight w:val="none"/>
              </w:rPr>
            </w:pPr>
          </w:p>
        </w:tc>
        <w:tc>
          <w:tcPr>
            <w:tcW w:w="890" w:type="pct"/>
            <w:vMerge w:val="continue"/>
            <w:vAlign w:val="center"/>
          </w:tcPr>
          <w:p>
            <w:pPr>
              <w:ind w:firstLine="0" w:firstLineChars="0"/>
              <w:jc w:val="center"/>
              <w:rPr>
                <w:rFonts w:cs="Times New Roman"/>
                <w:color w:val="auto"/>
                <w:sz w:val="24"/>
                <w:szCs w:val="24"/>
                <w:highlight w:val="none"/>
              </w:rPr>
            </w:pPr>
          </w:p>
        </w:tc>
        <w:tc>
          <w:tcPr>
            <w:tcW w:w="89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50～100</w:t>
            </w:r>
          </w:p>
        </w:tc>
        <w:tc>
          <w:tcPr>
            <w:tcW w:w="864"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0</w:t>
            </w:r>
          </w:p>
        </w:tc>
        <w:tc>
          <w:tcPr>
            <w:tcW w:w="834" w:type="pct"/>
            <w:shd w:val="clear" w:color="auto" w:fill="auto"/>
            <w:noWrap/>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3.5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630" w:type="pct"/>
            <w:vMerge w:val="continue"/>
            <w:vAlign w:val="center"/>
          </w:tcPr>
          <w:p>
            <w:pPr>
              <w:ind w:firstLine="0" w:firstLineChars="0"/>
              <w:jc w:val="center"/>
              <w:rPr>
                <w:rFonts w:cs="Times New Roman"/>
                <w:color w:val="auto"/>
                <w:sz w:val="24"/>
                <w:szCs w:val="24"/>
                <w:highlight w:val="none"/>
              </w:rPr>
            </w:pPr>
          </w:p>
        </w:tc>
        <w:tc>
          <w:tcPr>
            <w:tcW w:w="890" w:type="pct"/>
            <w:vMerge w:val="continue"/>
            <w:vAlign w:val="center"/>
          </w:tcPr>
          <w:p>
            <w:pPr>
              <w:ind w:firstLine="0" w:firstLineChars="0"/>
              <w:jc w:val="center"/>
              <w:rPr>
                <w:rFonts w:cs="Times New Roman"/>
                <w:color w:val="auto"/>
                <w:sz w:val="24"/>
                <w:szCs w:val="24"/>
                <w:highlight w:val="none"/>
              </w:rPr>
            </w:pPr>
          </w:p>
        </w:tc>
        <w:tc>
          <w:tcPr>
            <w:tcW w:w="890" w:type="pct"/>
            <w:vMerge w:val="continue"/>
            <w:vAlign w:val="center"/>
          </w:tcPr>
          <w:p>
            <w:pPr>
              <w:ind w:firstLine="0" w:firstLineChars="0"/>
              <w:jc w:val="center"/>
              <w:rPr>
                <w:rFonts w:cs="Times New Roman"/>
                <w:color w:val="auto"/>
                <w:sz w:val="24"/>
                <w:szCs w:val="24"/>
                <w:highlight w:val="none"/>
              </w:rPr>
            </w:pPr>
          </w:p>
        </w:tc>
        <w:tc>
          <w:tcPr>
            <w:tcW w:w="89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≥50</w:t>
            </w:r>
          </w:p>
        </w:tc>
        <w:tc>
          <w:tcPr>
            <w:tcW w:w="864"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0</w:t>
            </w:r>
          </w:p>
        </w:tc>
        <w:tc>
          <w:tcPr>
            <w:tcW w:w="834" w:type="pct"/>
            <w:shd w:val="clear" w:color="auto" w:fill="auto"/>
            <w:noWrap/>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0.2</w:t>
            </w:r>
          </w:p>
        </w:tc>
      </w:tr>
    </w:tbl>
    <w:p>
      <w:pPr>
        <w:spacing w:line="240" w:lineRule="exact"/>
        <w:ind w:firstLine="640"/>
        <w:rPr>
          <w:rFonts w:cs="Times New Roman"/>
          <w:color w:val="auto"/>
          <w:szCs w:val="32"/>
          <w:highlight w:val="none"/>
        </w:rPr>
      </w:pPr>
    </w:p>
    <w:p>
      <w:pPr>
        <w:ind w:firstLine="704" w:firstLineChars="220"/>
        <w:rPr>
          <w:rFonts w:cs="Times New Roman"/>
          <w:color w:val="auto"/>
          <w:szCs w:val="32"/>
          <w:highlight w:val="none"/>
        </w:rPr>
      </w:pPr>
      <w:r>
        <w:rPr>
          <w:rFonts w:cs="Times New Roman"/>
          <w:color w:val="auto"/>
          <w:szCs w:val="32"/>
          <w:highlight w:val="none"/>
        </w:rPr>
        <w:t>②日均值浓度</w:t>
      </w:r>
    </w:p>
    <w:p>
      <w:pPr>
        <w:ind w:firstLine="704" w:firstLineChars="220"/>
        <w:rPr>
          <w:rFonts w:cs="Times New Roman"/>
          <w:color w:val="auto"/>
          <w:szCs w:val="32"/>
          <w:highlight w:val="none"/>
        </w:rPr>
      </w:pPr>
      <w:r>
        <w:rPr>
          <w:rFonts w:cs="Times New Roman"/>
          <w:color w:val="auto"/>
          <w:szCs w:val="32"/>
          <w:highlight w:val="none"/>
        </w:rPr>
        <w:t>一氧化碳日均值有效数据20785个，</w:t>
      </w:r>
      <w:bookmarkStart w:id="131" w:name="_Hlk120556122"/>
      <w:r>
        <w:rPr>
          <w:rFonts w:cs="Times New Roman"/>
          <w:color w:val="auto"/>
          <w:szCs w:val="32"/>
          <w:highlight w:val="none"/>
        </w:rPr>
        <w:t>日均值浓度</w:t>
      </w:r>
      <w:bookmarkEnd w:id="131"/>
      <w:r>
        <w:rPr>
          <w:rFonts w:cs="Times New Roman"/>
          <w:color w:val="auto"/>
          <w:szCs w:val="32"/>
          <w:highlight w:val="none"/>
        </w:rPr>
        <w:t>范围为0.7~140.5 mg/m</w:t>
      </w:r>
      <w:r>
        <w:rPr>
          <w:rFonts w:cs="Times New Roman"/>
          <w:color w:val="auto"/>
          <w:szCs w:val="32"/>
          <w:highlight w:val="none"/>
          <w:vertAlign w:val="superscript"/>
        </w:rPr>
        <w:t>3</w:t>
      </w:r>
      <w:r>
        <w:rPr>
          <w:rFonts w:cs="Times New Roman"/>
          <w:color w:val="auto"/>
          <w:szCs w:val="32"/>
          <w:highlight w:val="none"/>
        </w:rPr>
        <w:t>，平均值为10.6 mg/m</w:t>
      </w:r>
      <w:r>
        <w:rPr>
          <w:rFonts w:cs="Times New Roman"/>
          <w:color w:val="auto"/>
          <w:szCs w:val="32"/>
          <w:highlight w:val="none"/>
          <w:vertAlign w:val="superscript"/>
        </w:rPr>
        <w:t>3</w:t>
      </w:r>
      <w:r>
        <w:rPr>
          <w:rFonts w:cs="Times New Roman"/>
          <w:color w:val="auto"/>
          <w:szCs w:val="32"/>
          <w:highlight w:val="none"/>
        </w:rPr>
        <w:t>，日均值浓度小于80mg/m</w:t>
      </w:r>
      <w:r>
        <w:rPr>
          <w:rFonts w:cs="Times New Roman"/>
          <w:color w:val="auto"/>
          <w:szCs w:val="32"/>
          <w:highlight w:val="none"/>
          <w:vertAlign w:val="superscript"/>
        </w:rPr>
        <w:t>3</w:t>
      </w:r>
      <w:r>
        <w:rPr>
          <w:rFonts w:cs="Times New Roman"/>
          <w:color w:val="auto"/>
          <w:szCs w:val="32"/>
          <w:highlight w:val="none"/>
        </w:rPr>
        <w:t>的数据占比为98.5%，大于80mg/m</w:t>
      </w:r>
      <w:r>
        <w:rPr>
          <w:rFonts w:cs="Times New Roman"/>
          <w:color w:val="auto"/>
          <w:szCs w:val="32"/>
          <w:highlight w:val="none"/>
          <w:vertAlign w:val="superscript"/>
        </w:rPr>
        <w:t>3</w:t>
      </w:r>
      <w:r>
        <w:rPr>
          <w:rFonts w:cs="Times New Roman"/>
          <w:color w:val="auto"/>
          <w:szCs w:val="32"/>
          <w:highlight w:val="none"/>
        </w:rPr>
        <w:t>的数据占比为1.5%。</w:t>
      </w:r>
    </w:p>
    <w:p>
      <w:pPr>
        <w:ind w:firstLine="704" w:firstLineChars="220"/>
        <w:rPr>
          <w:rFonts w:cs="Times New Roman"/>
          <w:color w:val="auto"/>
          <w:szCs w:val="32"/>
          <w:highlight w:val="none"/>
        </w:rPr>
      </w:pPr>
      <w:r>
        <w:rPr>
          <w:rFonts w:cs="Times New Roman"/>
          <w:color w:val="auto"/>
          <w:szCs w:val="32"/>
          <w:highlight w:val="none"/>
        </w:rPr>
        <w:t>一氧化碳日均浓度小于</w:t>
      </w:r>
      <w:bookmarkStart w:id="132" w:name="_Hlk120556132"/>
      <w:r>
        <w:rPr>
          <w:rFonts w:cs="Times New Roman"/>
          <w:color w:val="auto"/>
          <w:szCs w:val="32"/>
          <w:highlight w:val="none"/>
        </w:rPr>
        <w:t>30 mg/m</w:t>
      </w:r>
      <w:r>
        <w:rPr>
          <w:rFonts w:cs="Times New Roman"/>
          <w:color w:val="auto"/>
          <w:szCs w:val="32"/>
          <w:highlight w:val="none"/>
          <w:vertAlign w:val="superscript"/>
        </w:rPr>
        <w:t>3</w:t>
      </w:r>
      <w:bookmarkEnd w:id="132"/>
      <w:r>
        <w:rPr>
          <w:rFonts w:cs="Times New Roman"/>
          <w:color w:val="auto"/>
          <w:szCs w:val="32"/>
          <w:highlight w:val="none"/>
        </w:rPr>
        <w:t>的比例为94.4%；一氧化碳日均浓度小于50mg/m</w:t>
      </w:r>
      <w:r>
        <w:rPr>
          <w:rFonts w:cs="Times New Roman"/>
          <w:color w:val="auto"/>
          <w:szCs w:val="32"/>
          <w:highlight w:val="none"/>
          <w:vertAlign w:val="superscript"/>
        </w:rPr>
        <w:t>3</w:t>
      </w:r>
      <w:r>
        <w:rPr>
          <w:rFonts w:cs="Times New Roman"/>
          <w:color w:val="auto"/>
          <w:szCs w:val="32"/>
          <w:highlight w:val="none"/>
        </w:rPr>
        <w:t>的比例为97.3%，一氧化碳日均浓度在50~80mg/m</w:t>
      </w:r>
      <w:r>
        <w:rPr>
          <w:rFonts w:cs="Times New Roman"/>
          <w:color w:val="auto"/>
          <w:szCs w:val="32"/>
          <w:highlight w:val="none"/>
          <w:vertAlign w:val="superscript"/>
        </w:rPr>
        <w:t>3</w:t>
      </w:r>
      <w:r>
        <w:rPr>
          <w:rFonts w:cs="Times New Roman"/>
          <w:color w:val="auto"/>
          <w:szCs w:val="32"/>
          <w:highlight w:val="none"/>
        </w:rPr>
        <w:t>的比例为1.2%；一氧化碳日均浓度小于80 mg/m</w:t>
      </w:r>
      <w:r>
        <w:rPr>
          <w:rFonts w:cs="Times New Roman"/>
          <w:color w:val="auto"/>
          <w:szCs w:val="32"/>
          <w:highlight w:val="none"/>
          <w:vertAlign w:val="superscript"/>
        </w:rPr>
        <w:t>3</w:t>
      </w:r>
      <w:r>
        <w:rPr>
          <w:rFonts w:cs="Times New Roman"/>
          <w:color w:val="auto"/>
          <w:szCs w:val="32"/>
          <w:highlight w:val="none"/>
        </w:rPr>
        <w:t>的比例为98.5%；一氧化碳日均浓度大于80 mg/m</w:t>
      </w:r>
      <w:r>
        <w:rPr>
          <w:rFonts w:cs="Times New Roman"/>
          <w:color w:val="auto"/>
          <w:szCs w:val="32"/>
          <w:highlight w:val="none"/>
          <w:vertAlign w:val="superscript"/>
        </w:rPr>
        <w:t>3</w:t>
      </w:r>
      <w:r>
        <w:rPr>
          <w:rFonts w:cs="Times New Roman"/>
          <w:color w:val="auto"/>
          <w:szCs w:val="32"/>
          <w:highlight w:val="none"/>
        </w:rPr>
        <w:t>的比例为1.5%</w:t>
      </w:r>
      <w:bookmarkStart w:id="133" w:name="_Hlk120556211"/>
      <w:r>
        <w:rPr>
          <w:rFonts w:cs="Times New Roman"/>
          <w:color w:val="auto"/>
          <w:szCs w:val="32"/>
          <w:highlight w:val="none"/>
        </w:rPr>
        <w:t>。</w:t>
      </w:r>
      <w:bookmarkEnd w:id="133"/>
    </w:p>
    <w:p>
      <w:pPr>
        <w:ind w:left="0" w:leftChars="0" w:firstLine="0" w:firstLineChars="0"/>
        <w:rPr>
          <w:rFonts w:cs="Times New Roman"/>
          <w:b/>
          <w:bCs/>
          <w:color w:val="auto"/>
          <w:highlight w:val="none"/>
        </w:rPr>
      </w:pPr>
      <w:r>
        <w:rPr>
          <w:rFonts w:hint="eastAsia" w:cs="Times New Roman"/>
          <w:b/>
          <w:bCs/>
          <w:color w:val="auto"/>
          <w:highlight w:val="none"/>
          <w:lang w:val="en-US" w:eastAsia="zh-CN"/>
        </w:rPr>
        <w:t>5.4.2.5</w:t>
      </w:r>
      <w:r>
        <w:rPr>
          <w:rFonts w:cs="Times New Roman"/>
          <w:b/>
          <w:bCs/>
          <w:color w:val="auto"/>
          <w:highlight w:val="none"/>
        </w:rPr>
        <w:t xml:space="preserve"> 重金属及其化合物排放限值确定</w:t>
      </w:r>
    </w:p>
    <w:p>
      <w:pPr>
        <w:ind w:firstLine="640"/>
        <w:rPr>
          <w:rFonts w:hint="default" w:eastAsia="仿宋_GB2312" w:cs="Times New Roman"/>
          <w:color w:val="auto"/>
          <w:highlight w:val="none"/>
          <w:lang w:val="en-US" w:eastAsia="zh-CN"/>
        </w:rPr>
      </w:pPr>
      <w:r>
        <w:rPr>
          <w:rFonts w:cs="Times New Roman"/>
          <w:color w:val="auto"/>
          <w:szCs w:val="32"/>
          <w:highlight w:val="none"/>
        </w:rPr>
        <w:t>根据生活垃圾焚烧企业重金属污染治理情况，现行的国家《生活垃圾焚烧污染控制标准》（GB18485-2014）及其他省份排放限值要求等以及企业监测数据情况，本次标准将汞及其化合物标准限值定为0.02mg/m</w:t>
      </w:r>
      <w:r>
        <w:rPr>
          <w:rFonts w:cs="Times New Roman"/>
          <w:color w:val="auto"/>
          <w:szCs w:val="32"/>
          <w:highlight w:val="none"/>
          <w:vertAlign w:val="superscript"/>
        </w:rPr>
        <w:t>3</w:t>
      </w:r>
      <w:r>
        <w:rPr>
          <w:rFonts w:cs="Times New Roman"/>
          <w:color w:val="auto"/>
          <w:szCs w:val="32"/>
          <w:highlight w:val="none"/>
        </w:rPr>
        <w:t>、镉、铊及其化合物定为0.03mg/m</w:t>
      </w:r>
      <w:r>
        <w:rPr>
          <w:rFonts w:cs="Times New Roman"/>
          <w:color w:val="auto"/>
          <w:szCs w:val="32"/>
          <w:highlight w:val="none"/>
          <w:vertAlign w:val="superscript"/>
        </w:rPr>
        <w:t>3</w:t>
      </w:r>
      <w:r>
        <w:rPr>
          <w:rFonts w:cs="Times New Roman"/>
          <w:color w:val="auto"/>
          <w:szCs w:val="32"/>
          <w:highlight w:val="none"/>
        </w:rPr>
        <w:t>、锑、砷、铅、铬、钴、铜、锰、镍及其化合物定为0.3mg/m</w:t>
      </w:r>
      <w:r>
        <w:rPr>
          <w:rFonts w:cs="Times New Roman"/>
          <w:color w:val="auto"/>
          <w:szCs w:val="32"/>
          <w:highlight w:val="none"/>
          <w:vertAlign w:val="superscript"/>
        </w:rPr>
        <w:t>3</w:t>
      </w:r>
      <w:r>
        <w:rPr>
          <w:rFonts w:cs="Times New Roman"/>
          <w:color w:val="auto"/>
          <w:szCs w:val="32"/>
          <w:highlight w:val="none"/>
        </w:rPr>
        <w:t>。</w:t>
      </w:r>
      <w:r>
        <w:rPr>
          <w:rFonts w:cs="Times New Roman"/>
          <w:color w:val="auto"/>
          <w:highlight w:val="none"/>
        </w:rPr>
        <w:t>根据现场监测和数据收集情况</w:t>
      </w:r>
      <w:r>
        <w:rPr>
          <w:rFonts w:hint="eastAsia" w:cs="Times New Roman"/>
          <w:color w:val="auto"/>
          <w:highlight w:val="none"/>
          <w:lang w:eastAsia="zh-CN"/>
        </w:rPr>
        <w:t>，</w:t>
      </w:r>
      <w:r>
        <w:rPr>
          <w:rFonts w:hint="eastAsia" w:cs="Times New Roman"/>
          <w:color w:val="auto"/>
          <w:highlight w:val="none"/>
          <w:lang w:val="en-US" w:eastAsia="zh-CN"/>
        </w:rPr>
        <w:t>重金属及其化合物数据低于限值的比例均为100%。</w:t>
      </w:r>
    </w:p>
    <w:p>
      <w:pPr>
        <w:ind w:firstLine="640"/>
        <w:rPr>
          <w:rFonts w:cs="Times New Roman"/>
          <w:color w:val="auto"/>
          <w:highlight w:val="none"/>
        </w:rPr>
      </w:pPr>
      <w:r>
        <w:rPr>
          <w:rFonts w:cs="Times New Roman"/>
          <w:color w:val="auto"/>
          <w:highlight w:val="none"/>
        </w:rPr>
        <w:t>（1）汞及其化合物</w:t>
      </w:r>
    </w:p>
    <w:p>
      <w:pPr>
        <w:ind w:firstLine="640"/>
        <w:rPr>
          <w:rFonts w:cs="Times New Roman"/>
          <w:color w:val="auto"/>
          <w:szCs w:val="32"/>
          <w:highlight w:val="none"/>
        </w:rPr>
      </w:pPr>
      <w:r>
        <w:rPr>
          <w:rFonts w:cs="Times New Roman"/>
          <w:color w:val="auto"/>
          <w:szCs w:val="32"/>
          <w:highlight w:val="none"/>
        </w:rPr>
        <w:t>根据2021~2022年手工监测数据统计，生活垃圾焚烧企业汞及其化合物浓度范围为未检出~0.0063mg/m</w:t>
      </w:r>
      <w:r>
        <w:rPr>
          <w:rFonts w:cs="Times New Roman"/>
          <w:color w:val="auto"/>
          <w:szCs w:val="32"/>
          <w:highlight w:val="none"/>
          <w:vertAlign w:val="superscript"/>
        </w:rPr>
        <w:t>3</w:t>
      </w:r>
      <w:r>
        <w:rPr>
          <w:rFonts w:cs="Times New Roman"/>
          <w:color w:val="auto"/>
          <w:szCs w:val="32"/>
          <w:highlight w:val="none"/>
        </w:rPr>
        <w:t>，小于0.01 mg/m</w:t>
      </w:r>
      <w:r>
        <w:rPr>
          <w:rFonts w:cs="Times New Roman"/>
          <w:color w:val="auto"/>
          <w:szCs w:val="32"/>
          <w:highlight w:val="none"/>
          <w:vertAlign w:val="superscript"/>
        </w:rPr>
        <w:t>3</w:t>
      </w:r>
      <w:r>
        <w:rPr>
          <w:rFonts w:cs="Times New Roman"/>
          <w:color w:val="auto"/>
          <w:szCs w:val="32"/>
          <w:highlight w:val="none"/>
        </w:rPr>
        <w:t>的占比为 100%，无大于0.02mg/m</w:t>
      </w:r>
      <w:r>
        <w:rPr>
          <w:rFonts w:cs="Times New Roman"/>
          <w:color w:val="auto"/>
          <w:szCs w:val="32"/>
          <w:highlight w:val="none"/>
          <w:vertAlign w:val="superscript"/>
        </w:rPr>
        <w:t>3</w:t>
      </w:r>
      <w:r>
        <w:rPr>
          <w:rFonts w:cs="Times New Roman"/>
          <w:color w:val="auto"/>
          <w:szCs w:val="32"/>
          <w:highlight w:val="none"/>
        </w:rPr>
        <w:t>以上数据。</w:t>
      </w:r>
    </w:p>
    <w:p>
      <w:pPr>
        <w:ind w:firstLine="640"/>
        <w:rPr>
          <w:rFonts w:cs="Times New Roman"/>
          <w:color w:val="auto"/>
          <w:szCs w:val="32"/>
          <w:highlight w:val="none"/>
        </w:rPr>
      </w:pPr>
      <w:r>
        <w:rPr>
          <w:rFonts w:cs="Times New Roman"/>
          <w:color w:val="auto"/>
          <w:szCs w:val="32"/>
          <w:highlight w:val="none"/>
        </w:rPr>
        <w:t>（2）镉、铊及其化合物</w:t>
      </w:r>
    </w:p>
    <w:p>
      <w:pPr>
        <w:ind w:firstLine="640"/>
        <w:rPr>
          <w:rFonts w:cs="Times New Roman"/>
          <w:color w:val="auto"/>
          <w:szCs w:val="32"/>
          <w:highlight w:val="none"/>
        </w:rPr>
      </w:pPr>
      <w:r>
        <w:rPr>
          <w:rFonts w:cs="Times New Roman"/>
          <w:color w:val="auto"/>
          <w:szCs w:val="32"/>
          <w:highlight w:val="none"/>
        </w:rPr>
        <w:t>根据2021~2022年手工监测数据统计，生活垃圾焚烧企业镉、铊及其化合物浓度范围为0~0.006mg/m</w:t>
      </w:r>
      <w:r>
        <w:rPr>
          <w:rFonts w:cs="Times New Roman"/>
          <w:color w:val="auto"/>
          <w:szCs w:val="32"/>
          <w:highlight w:val="none"/>
          <w:vertAlign w:val="superscript"/>
        </w:rPr>
        <w:t>3</w:t>
      </w:r>
      <w:r>
        <w:rPr>
          <w:rFonts w:cs="Times New Roman"/>
          <w:color w:val="auto"/>
          <w:szCs w:val="32"/>
          <w:highlight w:val="none"/>
        </w:rPr>
        <w:t>，小于0.01 mg/m</w:t>
      </w:r>
      <w:r>
        <w:rPr>
          <w:rFonts w:cs="Times New Roman"/>
          <w:color w:val="auto"/>
          <w:szCs w:val="32"/>
          <w:highlight w:val="none"/>
          <w:vertAlign w:val="superscript"/>
        </w:rPr>
        <w:t>3</w:t>
      </w:r>
      <w:r>
        <w:rPr>
          <w:rFonts w:cs="Times New Roman"/>
          <w:color w:val="auto"/>
          <w:szCs w:val="32"/>
          <w:highlight w:val="none"/>
        </w:rPr>
        <w:t>占比为 100%，无大于0.03mg/m</w:t>
      </w:r>
      <w:r>
        <w:rPr>
          <w:rFonts w:cs="Times New Roman"/>
          <w:color w:val="auto"/>
          <w:szCs w:val="32"/>
          <w:highlight w:val="none"/>
          <w:vertAlign w:val="superscript"/>
        </w:rPr>
        <w:t>3</w:t>
      </w:r>
      <w:r>
        <w:rPr>
          <w:rFonts w:cs="Times New Roman"/>
          <w:color w:val="auto"/>
          <w:szCs w:val="32"/>
          <w:highlight w:val="none"/>
        </w:rPr>
        <w:t>以上数据。</w:t>
      </w:r>
    </w:p>
    <w:p>
      <w:pPr>
        <w:ind w:firstLine="640"/>
        <w:rPr>
          <w:rFonts w:cs="Times New Roman"/>
          <w:color w:val="auto"/>
          <w:szCs w:val="32"/>
          <w:highlight w:val="none"/>
        </w:rPr>
      </w:pPr>
      <w:r>
        <w:rPr>
          <w:rFonts w:cs="Times New Roman"/>
          <w:color w:val="auto"/>
          <w:szCs w:val="32"/>
          <w:highlight w:val="none"/>
        </w:rPr>
        <w:t>（3）锑、砷、铅、铬、钴、铜、锰、镍及其化合物</w:t>
      </w:r>
    </w:p>
    <w:p>
      <w:pPr>
        <w:ind w:firstLine="640"/>
        <w:rPr>
          <w:rFonts w:cs="Times New Roman"/>
          <w:color w:val="auto"/>
          <w:szCs w:val="32"/>
          <w:highlight w:val="none"/>
        </w:rPr>
      </w:pPr>
      <w:r>
        <w:rPr>
          <w:rFonts w:cs="Times New Roman"/>
          <w:color w:val="auto"/>
          <w:szCs w:val="32"/>
          <w:highlight w:val="none"/>
        </w:rPr>
        <w:t>根据2021~2022年手工监测数据统计，生活垃圾焚烧企业锑、砷、铅、铬、钴、铜、锰、镍及其化合物浓度范围为未检出~0.194mg/m</w:t>
      </w:r>
      <w:r>
        <w:rPr>
          <w:rFonts w:cs="Times New Roman"/>
          <w:color w:val="auto"/>
          <w:szCs w:val="32"/>
          <w:highlight w:val="none"/>
          <w:vertAlign w:val="superscript"/>
        </w:rPr>
        <w:t>3</w:t>
      </w:r>
      <w:r>
        <w:rPr>
          <w:rFonts w:cs="Times New Roman"/>
          <w:color w:val="auto"/>
          <w:szCs w:val="32"/>
          <w:highlight w:val="none"/>
        </w:rPr>
        <w:t>，小于0.1 mg/m</w:t>
      </w:r>
      <w:r>
        <w:rPr>
          <w:rFonts w:cs="Times New Roman"/>
          <w:color w:val="auto"/>
          <w:szCs w:val="32"/>
          <w:highlight w:val="none"/>
          <w:vertAlign w:val="superscript"/>
        </w:rPr>
        <w:t>3</w:t>
      </w:r>
      <w:r>
        <w:rPr>
          <w:rFonts w:cs="Times New Roman"/>
          <w:color w:val="auto"/>
          <w:szCs w:val="32"/>
          <w:highlight w:val="none"/>
        </w:rPr>
        <w:t>的占比为 100%，无大于0.3mg/m</w:t>
      </w:r>
      <w:r>
        <w:rPr>
          <w:rFonts w:cs="Times New Roman"/>
          <w:color w:val="auto"/>
          <w:szCs w:val="32"/>
          <w:highlight w:val="none"/>
          <w:vertAlign w:val="superscript"/>
        </w:rPr>
        <w:t>3</w:t>
      </w:r>
      <w:r>
        <w:rPr>
          <w:rFonts w:cs="Times New Roman"/>
          <w:color w:val="auto"/>
          <w:szCs w:val="32"/>
          <w:highlight w:val="none"/>
        </w:rPr>
        <w:t>以上数据。</w:t>
      </w:r>
    </w:p>
    <w:p>
      <w:pPr>
        <w:ind w:left="0" w:leftChars="0" w:firstLine="0" w:firstLineChars="0"/>
        <w:rPr>
          <w:rFonts w:ascii="Times New Roman" w:hAnsi="Times New Roman" w:cs="Times New Roman"/>
          <w:b/>
          <w:bCs/>
          <w:color w:val="auto"/>
          <w:highlight w:val="none"/>
        </w:rPr>
      </w:pPr>
      <w:r>
        <w:rPr>
          <w:rFonts w:hint="eastAsia" w:cs="Times New Roman"/>
          <w:b/>
          <w:bCs/>
          <w:color w:val="auto"/>
          <w:highlight w:val="none"/>
          <w:lang w:val="en-US" w:eastAsia="zh-CN"/>
        </w:rPr>
        <w:t>5.4.2.6</w:t>
      </w:r>
      <w:r>
        <w:rPr>
          <w:rFonts w:ascii="Times New Roman" w:hAnsi="Times New Roman" w:cs="Times New Roman"/>
          <w:b/>
          <w:bCs/>
          <w:color w:val="auto"/>
          <w:highlight w:val="none"/>
        </w:rPr>
        <w:t xml:space="preserve"> 二噁英类排放限值确定</w:t>
      </w:r>
    </w:p>
    <w:p>
      <w:pPr>
        <w:ind w:firstLine="640"/>
        <w:rPr>
          <w:rFonts w:cs="Times New Roman"/>
          <w:color w:val="auto"/>
          <w:szCs w:val="32"/>
          <w:highlight w:val="none"/>
        </w:rPr>
      </w:pPr>
      <w:r>
        <w:rPr>
          <w:rFonts w:cs="Times New Roman"/>
          <w:color w:val="auto"/>
          <w:szCs w:val="32"/>
          <w:highlight w:val="none"/>
        </w:rPr>
        <w:t>因二噁英浓度受炉型、垃圾成分均匀性、燃烧稳定性及烟气净化措施等多方面影响，具有一定的波动性，本标准与GB 18485保持一致，规定限值为0.1 ng TEQ/Nm</w:t>
      </w:r>
      <w:r>
        <w:rPr>
          <w:rFonts w:cs="Times New Roman"/>
          <w:color w:val="auto"/>
          <w:szCs w:val="32"/>
          <w:highlight w:val="none"/>
          <w:vertAlign w:val="superscript"/>
        </w:rPr>
        <w:t>3</w:t>
      </w:r>
      <w:bookmarkStart w:id="134" w:name="_Hlk120557650"/>
      <w:r>
        <w:rPr>
          <w:rFonts w:cs="Times New Roman"/>
          <w:color w:val="auto"/>
          <w:szCs w:val="32"/>
          <w:highlight w:val="none"/>
        </w:rPr>
        <w:t>。</w:t>
      </w:r>
      <w:bookmarkEnd w:id="134"/>
    </w:p>
    <w:p>
      <w:pPr>
        <w:ind w:firstLine="640"/>
        <w:rPr>
          <w:rFonts w:cs="Times New Roman"/>
          <w:color w:val="auto"/>
          <w:szCs w:val="32"/>
          <w:highlight w:val="none"/>
        </w:rPr>
      </w:pPr>
      <w:r>
        <w:rPr>
          <w:rFonts w:cs="Times New Roman"/>
          <w:color w:val="auto"/>
          <w:highlight w:val="none"/>
        </w:rPr>
        <w:t>根据手工监测数据统计，生活垃圾焚烧企业二</w:t>
      </w:r>
      <w:r>
        <w:rPr>
          <w:rFonts w:cs="Times New Roman"/>
          <w:color w:val="auto"/>
          <w:szCs w:val="32"/>
          <w:highlight w:val="none"/>
        </w:rPr>
        <w:t>噁英类排放浓度范围为0.0045~0.075 ngTEQ/Nm</w:t>
      </w:r>
      <w:r>
        <w:rPr>
          <w:rFonts w:cs="Times New Roman"/>
          <w:color w:val="auto"/>
          <w:szCs w:val="32"/>
          <w:highlight w:val="none"/>
          <w:vertAlign w:val="superscript"/>
        </w:rPr>
        <w:t>3</w:t>
      </w:r>
      <w:r>
        <w:rPr>
          <w:rFonts w:cs="Times New Roman"/>
          <w:color w:val="auto"/>
          <w:szCs w:val="32"/>
          <w:highlight w:val="none"/>
        </w:rPr>
        <w:t>，二噁英浓度均小于0.1 ngTEQ/Nm</w:t>
      </w:r>
      <w:r>
        <w:rPr>
          <w:rFonts w:cs="Times New Roman"/>
          <w:color w:val="auto"/>
          <w:szCs w:val="32"/>
          <w:highlight w:val="none"/>
          <w:vertAlign w:val="superscript"/>
        </w:rPr>
        <w:t>3</w:t>
      </w:r>
      <w:r>
        <w:rPr>
          <w:rFonts w:cs="Times New Roman"/>
          <w:color w:val="auto"/>
          <w:szCs w:val="32"/>
          <w:highlight w:val="none"/>
        </w:rPr>
        <w:t>的数据占比为100%。</w:t>
      </w:r>
    </w:p>
    <w:p>
      <w:pPr>
        <w:ind w:left="0" w:leftChars="0" w:firstLine="0" w:firstLineChars="0"/>
        <w:rPr>
          <w:rFonts w:ascii="Times New Roman" w:hAnsi="Times New Roman" w:cs="Times New Roman"/>
          <w:b/>
          <w:bCs/>
          <w:color w:val="auto"/>
          <w:highlight w:val="none"/>
        </w:rPr>
      </w:pPr>
      <w:r>
        <w:rPr>
          <w:rFonts w:hint="eastAsia" w:cs="Times New Roman"/>
          <w:b/>
          <w:bCs/>
          <w:color w:val="auto"/>
          <w:highlight w:val="none"/>
          <w:lang w:val="en-US" w:eastAsia="zh-CN"/>
        </w:rPr>
        <w:t>5.4.2.7</w:t>
      </w:r>
      <w:r>
        <w:rPr>
          <w:rFonts w:ascii="Times New Roman" w:hAnsi="Times New Roman" w:cs="Times New Roman"/>
          <w:b/>
          <w:bCs/>
          <w:color w:val="auto"/>
          <w:highlight w:val="none"/>
        </w:rPr>
        <w:t xml:space="preserve"> 氮氧化物和氨排放限值确定</w:t>
      </w:r>
    </w:p>
    <w:p>
      <w:pPr>
        <w:ind w:firstLine="640"/>
        <w:rPr>
          <w:rFonts w:cs="Times New Roman"/>
          <w:color w:val="auto"/>
          <w:highlight w:val="none"/>
        </w:rPr>
      </w:pPr>
      <w:r>
        <w:rPr>
          <w:rFonts w:cs="Times New Roman"/>
          <w:color w:val="auto"/>
          <w:highlight w:val="none"/>
        </w:rPr>
        <w:t>（1）手工监测数据</w:t>
      </w:r>
    </w:p>
    <w:p>
      <w:pPr>
        <w:ind w:firstLine="640"/>
        <w:rPr>
          <w:rFonts w:cs="Times New Roman"/>
          <w:color w:val="auto"/>
          <w:szCs w:val="32"/>
          <w:highlight w:val="none"/>
        </w:rPr>
      </w:pPr>
      <w:r>
        <w:rPr>
          <w:rFonts w:cs="Times New Roman"/>
          <w:color w:val="auto"/>
          <w:highlight w:val="none"/>
        </w:rPr>
        <w:t>根据对生活垃圾焚烧企业现场监测</w:t>
      </w:r>
      <w:r>
        <w:rPr>
          <w:rFonts w:cs="Times New Roman"/>
          <w:color w:val="auto"/>
          <w:szCs w:val="32"/>
          <w:highlight w:val="none"/>
        </w:rPr>
        <w:t>数据，氮氧化物小时排放浓度范围为60~246mg/m</w:t>
      </w:r>
      <w:r>
        <w:rPr>
          <w:rFonts w:cs="Times New Roman"/>
          <w:color w:val="auto"/>
          <w:szCs w:val="32"/>
          <w:highlight w:val="none"/>
          <w:vertAlign w:val="superscript"/>
        </w:rPr>
        <w:t>3</w:t>
      </w:r>
      <w:r>
        <w:rPr>
          <w:rFonts w:cs="Times New Roman"/>
          <w:color w:val="auto"/>
          <w:szCs w:val="32"/>
          <w:highlight w:val="none"/>
        </w:rPr>
        <w:t>，小于150 mg/m</w:t>
      </w:r>
      <w:r>
        <w:rPr>
          <w:rFonts w:cs="Times New Roman"/>
          <w:color w:val="auto"/>
          <w:szCs w:val="32"/>
          <w:highlight w:val="none"/>
          <w:vertAlign w:val="superscript"/>
        </w:rPr>
        <w:t>3</w:t>
      </w:r>
      <w:r>
        <w:rPr>
          <w:rFonts w:cs="Times New Roman"/>
          <w:color w:val="auto"/>
          <w:szCs w:val="32"/>
          <w:highlight w:val="none"/>
        </w:rPr>
        <w:t>的数据占比为61.1%，大于150</w:t>
      </w:r>
      <w:bookmarkStart w:id="135" w:name="_Hlk120558921"/>
      <w:r>
        <w:rPr>
          <w:rFonts w:cs="Times New Roman"/>
          <w:color w:val="auto"/>
          <w:szCs w:val="32"/>
          <w:highlight w:val="none"/>
        </w:rPr>
        <w:t>mg/m</w:t>
      </w:r>
      <w:r>
        <w:rPr>
          <w:rFonts w:cs="Times New Roman"/>
          <w:color w:val="auto"/>
          <w:szCs w:val="32"/>
          <w:highlight w:val="none"/>
          <w:vertAlign w:val="superscript"/>
        </w:rPr>
        <w:t>3</w:t>
      </w:r>
      <w:bookmarkEnd w:id="135"/>
      <w:r>
        <w:rPr>
          <w:rFonts w:cs="Times New Roman"/>
          <w:color w:val="auto"/>
          <w:szCs w:val="32"/>
          <w:highlight w:val="none"/>
        </w:rPr>
        <w:t>的数据占比为38.9%。生活垃圾焚烧企业氮氧化物现状排放水平见表5.4-5</w:t>
      </w:r>
      <w:bookmarkStart w:id="136" w:name="_Hlk120559014"/>
      <w:r>
        <w:rPr>
          <w:rFonts w:cs="Times New Roman"/>
          <w:color w:val="auto"/>
          <w:szCs w:val="32"/>
          <w:highlight w:val="none"/>
        </w:rPr>
        <w:t>。</w:t>
      </w:r>
    </w:p>
    <w:bookmarkEnd w:id="136"/>
    <w:p>
      <w:pPr>
        <w:tabs>
          <w:tab w:val="left" w:pos="360"/>
        </w:tabs>
        <w:ind w:firstLine="0" w:firstLineChars="0"/>
        <w:jc w:val="both"/>
        <w:rPr>
          <w:rFonts w:cs="Times New Roman"/>
          <w:b/>
          <w:bCs/>
          <w:color w:val="auto"/>
          <w:szCs w:val="32"/>
          <w:highlight w:val="none"/>
        </w:rPr>
      </w:pPr>
      <w:r>
        <w:rPr>
          <w:rFonts w:cs="Times New Roman"/>
          <w:b/>
          <w:bCs/>
          <w:color w:val="auto"/>
          <w:szCs w:val="32"/>
          <w:highlight w:val="none"/>
        </w:rPr>
        <w:t xml:space="preserve">表5.4-5  </w:t>
      </w:r>
      <w:bookmarkStart w:id="137" w:name="_Hlk120557623"/>
      <w:r>
        <w:rPr>
          <w:rFonts w:hint="eastAsia" w:cs="Times New Roman"/>
          <w:b/>
          <w:bCs/>
          <w:color w:val="auto"/>
          <w:szCs w:val="32"/>
          <w:highlight w:val="none"/>
          <w:lang w:val="en-US" w:eastAsia="zh-CN"/>
        </w:rPr>
        <w:t xml:space="preserve">     </w:t>
      </w:r>
      <w:r>
        <w:rPr>
          <w:rFonts w:cs="Times New Roman"/>
          <w:b/>
          <w:bCs/>
          <w:color w:val="auto"/>
          <w:szCs w:val="32"/>
          <w:highlight w:val="none"/>
        </w:rPr>
        <w:t>企业氮氧化物现状排放水平</w:t>
      </w:r>
      <w:bookmarkEnd w:id="137"/>
    </w:p>
    <w:tbl>
      <w:tblPr>
        <w:tblStyle w:val="13"/>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637"/>
        <w:gridCol w:w="2317"/>
        <w:gridCol w:w="2317"/>
        <w:gridCol w:w="225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960"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主要污染物</w:t>
            </w:r>
          </w:p>
        </w:tc>
        <w:tc>
          <w:tcPr>
            <w:tcW w:w="1359"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手工监测数据浓度（mg/m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1359"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浓度分类（mg/m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1320"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数据占比（%）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960"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氮氧化物</w:t>
            </w:r>
          </w:p>
        </w:tc>
        <w:tc>
          <w:tcPr>
            <w:tcW w:w="1359"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60~246</w:t>
            </w:r>
          </w:p>
        </w:tc>
        <w:tc>
          <w:tcPr>
            <w:tcW w:w="1359"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＜100</w:t>
            </w:r>
          </w:p>
        </w:tc>
        <w:tc>
          <w:tcPr>
            <w:tcW w:w="132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30.6%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960" w:type="pct"/>
            <w:vMerge w:val="continue"/>
            <w:vAlign w:val="center"/>
          </w:tcPr>
          <w:p>
            <w:pPr>
              <w:ind w:firstLine="0" w:firstLineChars="0"/>
              <w:jc w:val="center"/>
              <w:rPr>
                <w:rFonts w:cs="Times New Roman"/>
                <w:color w:val="auto"/>
                <w:sz w:val="24"/>
                <w:szCs w:val="24"/>
                <w:highlight w:val="none"/>
              </w:rPr>
            </w:pPr>
          </w:p>
        </w:tc>
        <w:tc>
          <w:tcPr>
            <w:tcW w:w="1359" w:type="pct"/>
            <w:vMerge w:val="continue"/>
            <w:vAlign w:val="center"/>
          </w:tcPr>
          <w:p>
            <w:pPr>
              <w:ind w:firstLine="0" w:firstLineChars="0"/>
              <w:jc w:val="center"/>
              <w:rPr>
                <w:rFonts w:cs="Times New Roman"/>
                <w:color w:val="auto"/>
                <w:sz w:val="24"/>
                <w:szCs w:val="24"/>
                <w:highlight w:val="none"/>
              </w:rPr>
            </w:pPr>
          </w:p>
        </w:tc>
        <w:tc>
          <w:tcPr>
            <w:tcW w:w="1359"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100～120</w:t>
            </w:r>
          </w:p>
        </w:tc>
        <w:tc>
          <w:tcPr>
            <w:tcW w:w="132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11.1%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960" w:type="pct"/>
            <w:vMerge w:val="continue"/>
            <w:vAlign w:val="center"/>
          </w:tcPr>
          <w:p>
            <w:pPr>
              <w:ind w:firstLine="0" w:firstLineChars="0"/>
              <w:jc w:val="center"/>
              <w:rPr>
                <w:rFonts w:cs="Times New Roman"/>
                <w:color w:val="auto"/>
                <w:sz w:val="24"/>
                <w:szCs w:val="24"/>
                <w:highlight w:val="none"/>
              </w:rPr>
            </w:pPr>
          </w:p>
        </w:tc>
        <w:tc>
          <w:tcPr>
            <w:tcW w:w="1359" w:type="pct"/>
            <w:vMerge w:val="continue"/>
            <w:vAlign w:val="center"/>
          </w:tcPr>
          <w:p>
            <w:pPr>
              <w:ind w:firstLine="0" w:firstLineChars="0"/>
              <w:jc w:val="center"/>
              <w:rPr>
                <w:rFonts w:cs="Times New Roman"/>
                <w:color w:val="auto"/>
                <w:sz w:val="24"/>
                <w:szCs w:val="24"/>
                <w:highlight w:val="none"/>
              </w:rPr>
            </w:pPr>
          </w:p>
        </w:tc>
        <w:tc>
          <w:tcPr>
            <w:tcW w:w="1359"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120～150</w:t>
            </w:r>
          </w:p>
        </w:tc>
        <w:tc>
          <w:tcPr>
            <w:tcW w:w="132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19.4%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960" w:type="pct"/>
            <w:vMerge w:val="continue"/>
            <w:vAlign w:val="center"/>
          </w:tcPr>
          <w:p>
            <w:pPr>
              <w:ind w:firstLine="0" w:firstLineChars="0"/>
              <w:jc w:val="center"/>
              <w:rPr>
                <w:rFonts w:cs="Times New Roman"/>
                <w:color w:val="auto"/>
                <w:sz w:val="24"/>
                <w:szCs w:val="24"/>
                <w:highlight w:val="none"/>
              </w:rPr>
            </w:pPr>
          </w:p>
        </w:tc>
        <w:tc>
          <w:tcPr>
            <w:tcW w:w="1359" w:type="pct"/>
            <w:vMerge w:val="continue"/>
            <w:vAlign w:val="center"/>
          </w:tcPr>
          <w:p>
            <w:pPr>
              <w:ind w:firstLine="0" w:firstLineChars="0"/>
              <w:jc w:val="center"/>
              <w:rPr>
                <w:rFonts w:cs="Times New Roman"/>
                <w:color w:val="auto"/>
                <w:sz w:val="24"/>
                <w:szCs w:val="24"/>
                <w:highlight w:val="none"/>
              </w:rPr>
            </w:pPr>
          </w:p>
        </w:tc>
        <w:tc>
          <w:tcPr>
            <w:tcW w:w="1359"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≥150</w:t>
            </w:r>
          </w:p>
        </w:tc>
        <w:tc>
          <w:tcPr>
            <w:tcW w:w="132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38.9%</w:t>
            </w:r>
          </w:p>
        </w:tc>
      </w:tr>
    </w:tbl>
    <w:p>
      <w:pPr>
        <w:spacing w:line="240" w:lineRule="exact"/>
        <w:ind w:firstLine="640"/>
        <w:rPr>
          <w:rFonts w:cs="Times New Roman"/>
          <w:color w:val="auto"/>
          <w:szCs w:val="32"/>
          <w:highlight w:val="none"/>
        </w:rPr>
      </w:pPr>
    </w:p>
    <w:p>
      <w:pPr>
        <w:ind w:firstLine="640"/>
        <w:rPr>
          <w:rFonts w:cs="Times New Roman"/>
          <w:color w:val="auto"/>
          <w:szCs w:val="32"/>
          <w:highlight w:val="none"/>
        </w:rPr>
      </w:pPr>
      <w:r>
        <w:rPr>
          <w:rFonts w:cs="Times New Roman"/>
          <w:color w:val="auto"/>
          <w:szCs w:val="32"/>
          <w:highlight w:val="none"/>
        </w:rPr>
        <w:t>根据对生活垃圾焚烧企业现场检测数据可知，氨逃逸小时浓度范围为未检出~24.43mg/m</w:t>
      </w:r>
      <w:r>
        <w:rPr>
          <w:rFonts w:cs="Times New Roman"/>
          <w:color w:val="auto"/>
          <w:szCs w:val="32"/>
          <w:highlight w:val="none"/>
          <w:vertAlign w:val="superscript"/>
        </w:rPr>
        <w:t>3</w:t>
      </w:r>
      <w:r>
        <w:rPr>
          <w:rFonts w:cs="Times New Roman"/>
          <w:color w:val="auto"/>
          <w:szCs w:val="32"/>
          <w:highlight w:val="none"/>
        </w:rPr>
        <w:t>，其中小时浓度小于12mg/m</w:t>
      </w:r>
      <w:r>
        <w:rPr>
          <w:rFonts w:cs="Times New Roman"/>
          <w:color w:val="auto"/>
          <w:szCs w:val="32"/>
          <w:highlight w:val="none"/>
          <w:vertAlign w:val="superscript"/>
        </w:rPr>
        <w:t>3</w:t>
      </w:r>
      <w:bookmarkStart w:id="138" w:name="_Hlk120562338"/>
      <w:r>
        <w:rPr>
          <w:rFonts w:cs="Times New Roman"/>
          <w:color w:val="auto"/>
          <w:szCs w:val="32"/>
          <w:highlight w:val="none"/>
        </w:rPr>
        <w:t>的</w:t>
      </w:r>
      <w:bookmarkStart w:id="139" w:name="_Hlk120563141"/>
      <w:r>
        <w:rPr>
          <w:rFonts w:cs="Times New Roman"/>
          <w:color w:val="auto"/>
          <w:szCs w:val="32"/>
          <w:highlight w:val="none"/>
        </w:rPr>
        <w:t>数据占比为</w:t>
      </w:r>
      <w:bookmarkEnd w:id="139"/>
      <w:r>
        <w:rPr>
          <w:rFonts w:cs="Times New Roman"/>
          <w:color w:val="auto"/>
          <w:szCs w:val="32"/>
          <w:highlight w:val="none"/>
        </w:rPr>
        <w:t>91.7%</w:t>
      </w:r>
      <w:bookmarkEnd w:id="138"/>
      <w:r>
        <w:rPr>
          <w:rFonts w:cs="Times New Roman"/>
          <w:color w:val="auto"/>
          <w:szCs w:val="32"/>
          <w:highlight w:val="none"/>
        </w:rPr>
        <w:t>，大于12mg/m</w:t>
      </w:r>
      <w:r>
        <w:rPr>
          <w:rFonts w:cs="Times New Roman"/>
          <w:color w:val="auto"/>
          <w:szCs w:val="32"/>
          <w:highlight w:val="none"/>
          <w:vertAlign w:val="superscript"/>
        </w:rPr>
        <w:t>3</w:t>
      </w:r>
      <w:r>
        <w:rPr>
          <w:rFonts w:cs="Times New Roman"/>
          <w:color w:val="auto"/>
          <w:szCs w:val="32"/>
          <w:highlight w:val="none"/>
        </w:rPr>
        <w:t>的数据占比为8.3%。大于12mg/m</w:t>
      </w:r>
      <w:r>
        <w:rPr>
          <w:rFonts w:cs="Times New Roman"/>
          <w:color w:val="auto"/>
          <w:szCs w:val="32"/>
          <w:highlight w:val="none"/>
          <w:vertAlign w:val="superscript"/>
        </w:rPr>
        <w:t>3</w:t>
      </w:r>
      <w:r>
        <w:rPr>
          <w:rFonts w:cs="Times New Roman"/>
          <w:color w:val="auto"/>
          <w:szCs w:val="32"/>
          <w:highlight w:val="none"/>
        </w:rPr>
        <w:t>的数据有两个，分别为24mg/m</w:t>
      </w:r>
      <w:r>
        <w:rPr>
          <w:rFonts w:cs="Times New Roman"/>
          <w:color w:val="auto"/>
          <w:szCs w:val="32"/>
          <w:highlight w:val="none"/>
          <w:vertAlign w:val="superscript"/>
        </w:rPr>
        <w:t>3</w:t>
      </w:r>
      <w:r>
        <w:rPr>
          <w:rFonts w:cs="Times New Roman"/>
          <w:color w:val="auto"/>
          <w:szCs w:val="32"/>
          <w:highlight w:val="none"/>
        </w:rPr>
        <w:t>、24.43mg/m</w:t>
      </w:r>
      <w:r>
        <w:rPr>
          <w:rFonts w:cs="Times New Roman"/>
          <w:color w:val="auto"/>
          <w:szCs w:val="32"/>
          <w:highlight w:val="none"/>
          <w:vertAlign w:val="superscript"/>
        </w:rPr>
        <w:t>3</w:t>
      </w:r>
      <w:r>
        <w:rPr>
          <w:rFonts w:cs="Times New Roman"/>
          <w:color w:val="auto"/>
          <w:szCs w:val="32"/>
          <w:highlight w:val="none"/>
        </w:rPr>
        <w:t>。生活垃圾焚烧企业氨逃逸现状排放水平见表5.4-6</w:t>
      </w:r>
      <w:bookmarkStart w:id="140" w:name="_Hlk120562405"/>
      <w:r>
        <w:rPr>
          <w:rFonts w:cs="Times New Roman"/>
          <w:color w:val="auto"/>
          <w:szCs w:val="32"/>
          <w:highlight w:val="none"/>
        </w:rPr>
        <w:t>。</w:t>
      </w:r>
      <w:bookmarkEnd w:id="140"/>
    </w:p>
    <w:p>
      <w:pPr>
        <w:tabs>
          <w:tab w:val="left" w:pos="360"/>
        </w:tabs>
        <w:ind w:firstLine="0" w:firstLineChars="0"/>
        <w:jc w:val="both"/>
        <w:rPr>
          <w:rFonts w:cs="Times New Roman"/>
          <w:b/>
          <w:bCs/>
          <w:color w:val="auto"/>
          <w:szCs w:val="32"/>
          <w:highlight w:val="none"/>
        </w:rPr>
      </w:pPr>
      <w:r>
        <w:rPr>
          <w:rFonts w:cs="Times New Roman"/>
          <w:b/>
          <w:bCs/>
          <w:color w:val="auto"/>
          <w:szCs w:val="32"/>
          <w:highlight w:val="none"/>
        </w:rPr>
        <w:t>表</w:t>
      </w:r>
      <w:bookmarkStart w:id="141" w:name="_Hlk120557812"/>
      <w:r>
        <w:rPr>
          <w:rFonts w:cs="Times New Roman"/>
          <w:b/>
          <w:bCs/>
          <w:color w:val="auto"/>
          <w:szCs w:val="32"/>
          <w:highlight w:val="none"/>
        </w:rPr>
        <w:t>5.4-6</w:t>
      </w:r>
      <w:bookmarkEnd w:id="141"/>
      <w:r>
        <w:rPr>
          <w:rFonts w:cs="Times New Roman"/>
          <w:b/>
          <w:bCs/>
          <w:color w:val="auto"/>
          <w:szCs w:val="32"/>
          <w:highlight w:val="none"/>
        </w:rPr>
        <w:t xml:space="preserve"> </w:t>
      </w:r>
      <w:bookmarkStart w:id="142" w:name="_Hlk120557795"/>
      <w:r>
        <w:rPr>
          <w:rFonts w:cs="Times New Roman"/>
          <w:b/>
          <w:bCs/>
          <w:color w:val="auto"/>
          <w:szCs w:val="32"/>
          <w:highlight w:val="none"/>
        </w:rPr>
        <w:t xml:space="preserve"> </w:t>
      </w:r>
      <w:r>
        <w:rPr>
          <w:rFonts w:hint="eastAsia" w:cs="Times New Roman"/>
          <w:b/>
          <w:bCs/>
          <w:color w:val="auto"/>
          <w:szCs w:val="32"/>
          <w:highlight w:val="none"/>
          <w:lang w:val="en-US" w:eastAsia="zh-CN"/>
        </w:rPr>
        <w:t xml:space="preserve">  </w:t>
      </w:r>
      <w:r>
        <w:rPr>
          <w:rFonts w:cs="Times New Roman"/>
          <w:b/>
          <w:bCs/>
          <w:color w:val="auto"/>
          <w:szCs w:val="32"/>
          <w:highlight w:val="none"/>
        </w:rPr>
        <w:t>生活垃圾焚烧企业氨逃逸现状排放水平</w:t>
      </w:r>
      <w:bookmarkEnd w:id="142"/>
    </w:p>
    <w:tbl>
      <w:tblPr>
        <w:tblStyle w:val="13"/>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639"/>
        <w:gridCol w:w="2317"/>
        <w:gridCol w:w="2317"/>
        <w:gridCol w:w="224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961"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主要污染物</w:t>
            </w:r>
          </w:p>
        </w:tc>
        <w:tc>
          <w:tcPr>
            <w:tcW w:w="1359"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手工监测数据（mg/m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1359"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浓度分类（mg/m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1319"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数据占比（%）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961"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氨</w:t>
            </w:r>
          </w:p>
        </w:tc>
        <w:tc>
          <w:tcPr>
            <w:tcW w:w="1359"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未检出~24.43</w:t>
            </w:r>
          </w:p>
        </w:tc>
        <w:tc>
          <w:tcPr>
            <w:tcW w:w="1359"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＜8</w:t>
            </w:r>
          </w:p>
        </w:tc>
        <w:tc>
          <w:tcPr>
            <w:tcW w:w="1319"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83.4%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961" w:type="pct"/>
            <w:vMerge w:val="continue"/>
            <w:vAlign w:val="center"/>
          </w:tcPr>
          <w:p>
            <w:pPr>
              <w:ind w:firstLine="0" w:firstLineChars="0"/>
              <w:jc w:val="center"/>
              <w:rPr>
                <w:rFonts w:cs="Times New Roman"/>
                <w:color w:val="auto"/>
                <w:sz w:val="24"/>
                <w:szCs w:val="24"/>
                <w:highlight w:val="none"/>
              </w:rPr>
            </w:pPr>
          </w:p>
        </w:tc>
        <w:tc>
          <w:tcPr>
            <w:tcW w:w="1359" w:type="pct"/>
            <w:vMerge w:val="continue"/>
            <w:vAlign w:val="center"/>
          </w:tcPr>
          <w:p>
            <w:pPr>
              <w:ind w:firstLine="0" w:firstLineChars="0"/>
              <w:jc w:val="center"/>
              <w:rPr>
                <w:rFonts w:cs="Times New Roman"/>
                <w:color w:val="auto"/>
                <w:sz w:val="24"/>
                <w:szCs w:val="24"/>
                <w:highlight w:val="none"/>
              </w:rPr>
            </w:pPr>
          </w:p>
        </w:tc>
        <w:tc>
          <w:tcPr>
            <w:tcW w:w="1359"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8～12</w:t>
            </w:r>
          </w:p>
        </w:tc>
        <w:tc>
          <w:tcPr>
            <w:tcW w:w="1319"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8.3%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961" w:type="pct"/>
            <w:vMerge w:val="continue"/>
            <w:vAlign w:val="center"/>
          </w:tcPr>
          <w:p>
            <w:pPr>
              <w:ind w:firstLine="0" w:firstLineChars="0"/>
              <w:jc w:val="center"/>
              <w:rPr>
                <w:rFonts w:cs="Times New Roman"/>
                <w:color w:val="auto"/>
                <w:sz w:val="24"/>
                <w:szCs w:val="24"/>
                <w:highlight w:val="none"/>
              </w:rPr>
            </w:pPr>
          </w:p>
        </w:tc>
        <w:tc>
          <w:tcPr>
            <w:tcW w:w="1359" w:type="pct"/>
            <w:vMerge w:val="continue"/>
            <w:vAlign w:val="center"/>
          </w:tcPr>
          <w:p>
            <w:pPr>
              <w:ind w:firstLine="0" w:firstLineChars="0"/>
              <w:jc w:val="center"/>
              <w:rPr>
                <w:rFonts w:cs="Times New Roman"/>
                <w:color w:val="auto"/>
                <w:sz w:val="24"/>
                <w:szCs w:val="24"/>
                <w:highlight w:val="none"/>
              </w:rPr>
            </w:pPr>
          </w:p>
        </w:tc>
        <w:tc>
          <w:tcPr>
            <w:tcW w:w="1359"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＞20</w:t>
            </w:r>
          </w:p>
        </w:tc>
        <w:tc>
          <w:tcPr>
            <w:tcW w:w="1319"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8.3%</w:t>
            </w:r>
          </w:p>
        </w:tc>
      </w:tr>
    </w:tbl>
    <w:p>
      <w:pPr>
        <w:spacing w:line="240" w:lineRule="exact"/>
        <w:ind w:firstLine="640"/>
        <w:rPr>
          <w:rFonts w:cs="Times New Roman"/>
          <w:color w:val="auto"/>
          <w:szCs w:val="32"/>
          <w:highlight w:val="none"/>
        </w:rPr>
      </w:pPr>
    </w:p>
    <w:p>
      <w:pPr>
        <w:ind w:firstLine="640"/>
        <w:rPr>
          <w:rFonts w:cs="Times New Roman"/>
          <w:color w:val="auto"/>
          <w:szCs w:val="32"/>
          <w:highlight w:val="none"/>
        </w:rPr>
      </w:pPr>
      <w:r>
        <w:rPr>
          <w:rFonts w:cs="Times New Roman"/>
          <w:color w:val="auto"/>
          <w:szCs w:val="32"/>
          <w:highlight w:val="none"/>
        </w:rPr>
        <w:t>对比分析氮氧化物和氨逃逸浓度情况，在氨逃逸≤8mg/m</w:t>
      </w:r>
      <w:r>
        <w:rPr>
          <w:rFonts w:cs="Times New Roman"/>
          <w:color w:val="auto"/>
          <w:szCs w:val="32"/>
          <w:highlight w:val="none"/>
          <w:vertAlign w:val="superscript"/>
        </w:rPr>
        <w:t>3</w:t>
      </w:r>
      <w:r>
        <w:rPr>
          <w:rFonts w:cs="Times New Roman"/>
          <w:color w:val="auto"/>
          <w:szCs w:val="32"/>
          <w:highlight w:val="none"/>
        </w:rPr>
        <w:t>时，对应的氮氧化物排放浓度范围波动较大，为60~246mg/m</w:t>
      </w:r>
      <w:r>
        <w:rPr>
          <w:rFonts w:cs="Times New Roman"/>
          <w:color w:val="auto"/>
          <w:szCs w:val="32"/>
          <w:highlight w:val="none"/>
          <w:vertAlign w:val="superscript"/>
        </w:rPr>
        <w:t>3</w:t>
      </w:r>
      <w:r>
        <w:rPr>
          <w:rFonts w:cs="Times New Roman"/>
          <w:color w:val="auto"/>
          <w:szCs w:val="32"/>
          <w:highlight w:val="none"/>
        </w:rPr>
        <w:t>，随着氨逃逸浓度增加，氮氧化物排放量降低。污染物控制难点就在于氨逃逸和氮氧化物的平衡点。氮氧化物和氨逃逸对比分析见表5.4-7。</w:t>
      </w:r>
    </w:p>
    <w:p>
      <w:pPr>
        <w:tabs>
          <w:tab w:val="left" w:pos="360"/>
        </w:tabs>
        <w:ind w:firstLine="0" w:firstLineChars="0"/>
        <w:jc w:val="both"/>
        <w:rPr>
          <w:rFonts w:cs="Times New Roman"/>
          <w:b/>
          <w:bCs/>
          <w:color w:val="auto"/>
          <w:szCs w:val="32"/>
          <w:highlight w:val="none"/>
        </w:rPr>
      </w:pPr>
      <w:r>
        <w:rPr>
          <w:rFonts w:cs="Times New Roman"/>
          <w:b/>
          <w:bCs/>
          <w:color w:val="auto"/>
          <w:szCs w:val="32"/>
          <w:highlight w:val="none"/>
        </w:rPr>
        <w:t xml:space="preserve">表5.4-7 </w:t>
      </w:r>
      <w:bookmarkStart w:id="143" w:name="_Hlk120557878"/>
      <w:r>
        <w:rPr>
          <w:rFonts w:hint="eastAsia" w:cs="Times New Roman"/>
          <w:b/>
          <w:bCs/>
          <w:color w:val="auto"/>
          <w:szCs w:val="32"/>
          <w:highlight w:val="none"/>
          <w:lang w:val="en-US" w:eastAsia="zh-CN"/>
        </w:rPr>
        <w:t xml:space="preserve">        </w:t>
      </w:r>
      <w:r>
        <w:rPr>
          <w:rFonts w:cs="Times New Roman"/>
          <w:b/>
          <w:bCs/>
          <w:color w:val="auto"/>
          <w:szCs w:val="32"/>
          <w:highlight w:val="none"/>
        </w:rPr>
        <w:t>氮氧化物和氨逃逸对比分析</w:t>
      </w:r>
      <w:bookmarkEnd w:id="143"/>
    </w:p>
    <w:tbl>
      <w:tblPr>
        <w:tblStyle w:val="13"/>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597"/>
        <w:gridCol w:w="4071"/>
        <w:gridCol w:w="285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480" w:hRule="atLeast"/>
        </w:trPr>
        <w:tc>
          <w:tcPr>
            <w:tcW w:w="937"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序号</w:t>
            </w:r>
          </w:p>
        </w:tc>
        <w:tc>
          <w:tcPr>
            <w:tcW w:w="2388"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氮氧化物浓度（mg/m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1674" w:type="pct"/>
            <w:tcBorders>
              <w:right w:val="single" w:color="auto" w:sz="4" w:space="0"/>
            </w:tcBorders>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氨逃逸浓度（mg/m</w:t>
            </w:r>
            <w:r>
              <w:rPr>
                <w:rFonts w:cs="Times New Roman"/>
                <w:b/>
                <w:bCs/>
                <w:color w:val="auto"/>
                <w:sz w:val="24"/>
                <w:szCs w:val="24"/>
                <w:highlight w:val="none"/>
                <w:vertAlign w:val="superscript"/>
              </w:rPr>
              <w:t>3</w:t>
            </w:r>
            <w:r>
              <w:rPr>
                <w:rFonts w:cs="Times New Roman"/>
                <w:b/>
                <w:bCs/>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6" w:hRule="atLeast"/>
        </w:trPr>
        <w:tc>
          <w:tcPr>
            <w:tcW w:w="937" w:type="pc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w:t>
            </w:r>
          </w:p>
        </w:tc>
        <w:tc>
          <w:tcPr>
            <w:tcW w:w="2388" w:type="pc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60~246</w:t>
            </w:r>
          </w:p>
        </w:tc>
        <w:tc>
          <w:tcPr>
            <w:tcW w:w="1674" w:type="pct"/>
            <w:tcBorders>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3" w:hRule="atLeast"/>
        </w:trPr>
        <w:tc>
          <w:tcPr>
            <w:tcW w:w="937" w:type="pc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2</w:t>
            </w:r>
          </w:p>
        </w:tc>
        <w:tc>
          <w:tcPr>
            <w:tcW w:w="2388" w:type="pc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188</w:t>
            </w:r>
          </w:p>
        </w:tc>
        <w:tc>
          <w:tcPr>
            <w:tcW w:w="1674" w:type="pct"/>
            <w:tcBorders>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8.01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5" w:hRule="atLeast"/>
        </w:trPr>
        <w:tc>
          <w:tcPr>
            <w:tcW w:w="937" w:type="pc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3</w:t>
            </w:r>
          </w:p>
        </w:tc>
        <w:tc>
          <w:tcPr>
            <w:tcW w:w="2388" w:type="pc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175</w:t>
            </w:r>
          </w:p>
        </w:tc>
        <w:tc>
          <w:tcPr>
            <w:tcW w:w="1674" w:type="pct"/>
            <w:tcBorders>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11.11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0" w:hRule="atLeast"/>
        </w:trPr>
        <w:tc>
          <w:tcPr>
            <w:tcW w:w="937" w:type="pc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4</w:t>
            </w:r>
          </w:p>
        </w:tc>
        <w:tc>
          <w:tcPr>
            <w:tcW w:w="2388" w:type="pc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150</w:t>
            </w:r>
          </w:p>
        </w:tc>
        <w:tc>
          <w:tcPr>
            <w:tcW w:w="1674" w:type="pct"/>
            <w:tcBorders>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24.43</w:t>
            </w:r>
          </w:p>
        </w:tc>
      </w:tr>
    </w:tbl>
    <w:p>
      <w:pPr>
        <w:spacing w:line="240" w:lineRule="exact"/>
        <w:ind w:firstLine="640"/>
        <w:rPr>
          <w:rFonts w:cs="Times New Roman"/>
          <w:color w:val="auto"/>
          <w:szCs w:val="32"/>
          <w:highlight w:val="none"/>
        </w:rPr>
      </w:pPr>
    </w:p>
    <w:p>
      <w:pPr>
        <w:ind w:firstLine="640"/>
        <w:rPr>
          <w:rFonts w:cs="Times New Roman"/>
          <w:color w:val="auto"/>
          <w:szCs w:val="32"/>
          <w:highlight w:val="none"/>
        </w:rPr>
      </w:pPr>
      <w:bookmarkStart w:id="144" w:name="_Hlk120563944"/>
      <w:r>
        <w:rPr>
          <w:rFonts w:cs="Times New Roman"/>
          <w:color w:val="auto"/>
          <w:szCs w:val="32"/>
          <w:highlight w:val="none"/>
        </w:rPr>
        <w:t>（2）在线监控数据</w:t>
      </w:r>
      <w:bookmarkEnd w:id="144"/>
    </w:p>
    <w:p>
      <w:pPr>
        <w:ind w:firstLine="704" w:firstLineChars="220"/>
        <w:rPr>
          <w:rFonts w:cs="Times New Roman"/>
          <w:color w:val="auto"/>
          <w:szCs w:val="32"/>
          <w:highlight w:val="none"/>
        </w:rPr>
      </w:pPr>
      <w:r>
        <w:rPr>
          <w:rFonts w:cs="Times New Roman"/>
          <w:color w:val="auto"/>
          <w:szCs w:val="32"/>
          <w:highlight w:val="none"/>
        </w:rPr>
        <w:t>统计已安装自动监控设施的41家生活垃圾焚烧企业2021年在线监控小时浓度，结果显示：</w:t>
      </w:r>
    </w:p>
    <w:p>
      <w:pPr>
        <w:ind w:firstLine="704" w:firstLineChars="220"/>
        <w:rPr>
          <w:rFonts w:cs="Times New Roman"/>
          <w:color w:val="auto"/>
          <w:szCs w:val="32"/>
          <w:highlight w:val="none"/>
        </w:rPr>
      </w:pPr>
      <w:r>
        <w:rPr>
          <w:rFonts w:cs="Times New Roman"/>
          <w:color w:val="auto"/>
          <w:szCs w:val="32"/>
          <w:highlight w:val="none"/>
        </w:rPr>
        <w:t>①小时浓度</w:t>
      </w:r>
    </w:p>
    <w:p>
      <w:pPr>
        <w:ind w:firstLine="707" w:firstLineChars="221"/>
        <w:rPr>
          <w:rFonts w:cs="Times New Roman"/>
          <w:color w:val="auto"/>
          <w:szCs w:val="32"/>
          <w:highlight w:val="none"/>
        </w:rPr>
      </w:pPr>
      <w:r>
        <w:rPr>
          <w:rFonts w:cs="Times New Roman"/>
          <w:color w:val="auto"/>
          <w:szCs w:val="32"/>
          <w:highlight w:val="none"/>
        </w:rPr>
        <w:t>氮氧化物小时浓度有效数据520574个，小时浓度范围为29.3~188.8 mg/m</w:t>
      </w:r>
      <w:r>
        <w:rPr>
          <w:rFonts w:cs="Times New Roman"/>
          <w:color w:val="auto"/>
          <w:szCs w:val="32"/>
          <w:highlight w:val="none"/>
          <w:vertAlign w:val="superscript"/>
        </w:rPr>
        <w:t>3</w:t>
      </w:r>
      <w:r>
        <w:rPr>
          <w:rFonts w:cs="Times New Roman"/>
          <w:color w:val="auto"/>
          <w:szCs w:val="32"/>
          <w:highlight w:val="none"/>
        </w:rPr>
        <w:t>，平均值为114.5mg/m</w:t>
      </w:r>
      <w:r>
        <w:rPr>
          <w:rFonts w:cs="Times New Roman"/>
          <w:color w:val="auto"/>
          <w:szCs w:val="32"/>
          <w:highlight w:val="none"/>
          <w:vertAlign w:val="superscript"/>
        </w:rPr>
        <w:t>3</w:t>
      </w:r>
      <w:r>
        <w:rPr>
          <w:rFonts w:cs="Times New Roman"/>
          <w:color w:val="auto"/>
          <w:szCs w:val="32"/>
          <w:highlight w:val="none"/>
        </w:rPr>
        <w:t>，</w:t>
      </w:r>
      <w:bookmarkStart w:id="145" w:name="_Hlk120563307"/>
      <w:r>
        <w:rPr>
          <w:rFonts w:cs="Times New Roman"/>
          <w:color w:val="auto"/>
          <w:szCs w:val="32"/>
          <w:highlight w:val="none"/>
        </w:rPr>
        <w:t>小时浓度数据</w:t>
      </w:r>
      <w:bookmarkStart w:id="146" w:name="_Hlk120563168"/>
      <w:r>
        <w:rPr>
          <w:rFonts w:cs="Times New Roman"/>
          <w:color w:val="auto"/>
          <w:szCs w:val="32"/>
          <w:highlight w:val="none"/>
        </w:rPr>
        <w:t>低于150mg/m</w:t>
      </w:r>
      <w:r>
        <w:rPr>
          <w:rFonts w:cs="Times New Roman"/>
          <w:color w:val="auto"/>
          <w:szCs w:val="32"/>
          <w:highlight w:val="none"/>
          <w:vertAlign w:val="superscript"/>
        </w:rPr>
        <w:t>3</w:t>
      </w:r>
      <w:r>
        <w:rPr>
          <w:rFonts w:cs="Times New Roman"/>
          <w:color w:val="auto"/>
          <w:szCs w:val="32"/>
          <w:highlight w:val="none"/>
        </w:rPr>
        <w:t>数据占比为71.6%</w:t>
      </w:r>
      <w:bookmarkEnd w:id="146"/>
      <w:r>
        <w:rPr>
          <w:rFonts w:cs="Times New Roman"/>
          <w:color w:val="auto"/>
          <w:szCs w:val="32"/>
          <w:highlight w:val="none"/>
        </w:rPr>
        <w:t>，高于150mg/m</w:t>
      </w:r>
      <w:r>
        <w:rPr>
          <w:rFonts w:cs="Times New Roman"/>
          <w:color w:val="auto"/>
          <w:szCs w:val="32"/>
          <w:highlight w:val="none"/>
          <w:vertAlign w:val="superscript"/>
        </w:rPr>
        <w:t>3</w:t>
      </w:r>
      <w:r>
        <w:rPr>
          <w:rFonts w:cs="Times New Roman"/>
          <w:color w:val="auto"/>
          <w:szCs w:val="32"/>
          <w:highlight w:val="none"/>
        </w:rPr>
        <w:t>数据占比为28.4%。</w:t>
      </w:r>
      <w:bookmarkEnd w:id="145"/>
      <w:r>
        <w:rPr>
          <w:rFonts w:cs="Times New Roman"/>
          <w:color w:val="auto"/>
          <w:szCs w:val="32"/>
          <w:highlight w:val="none"/>
        </w:rPr>
        <w:t>生活垃圾焚烧企业氮氧化物现状排放水平见表5.4-8。</w:t>
      </w:r>
    </w:p>
    <w:p>
      <w:pPr>
        <w:ind w:left="0" w:leftChars="0" w:firstLine="0" w:firstLineChars="0"/>
        <w:rPr>
          <w:rFonts w:cs="Times New Roman"/>
          <w:b/>
          <w:bCs/>
          <w:color w:val="auto"/>
          <w:szCs w:val="32"/>
          <w:highlight w:val="none"/>
        </w:rPr>
      </w:pPr>
      <w:r>
        <w:rPr>
          <w:rFonts w:cs="Times New Roman"/>
          <w:b/>
          <w:bCs/>
          <w:color w:val="auto"/>
          <w:szCs w:val="32"/>
          <w:highlight w:val="none"/>
        </w:rPr>
        <w:t xml:space="preserve">表5.4-8  </w:t>
      </w:r>
      <w:r>
        <w:rPr>
          <w:rFonts w:hint="eastAsia" w:cs="Times New Roman"/>
          <w:b/>
          <w:bCs/>
          <w:color w:val="auto"/>
          <w:szCs w:val="32"/>
          <w:highlight w:val="none"/>
          <w:lang w:val="en-US" w:eastAsia="zh-CN"/>
        </w:rPr>
        <w:t xml:space="preserve">    </w:t>
      </w:r>
      <w:r>
        <w:rPr>
          <w:rFonts w:cs="Times New Roman"/>
          <w:b/>
          <w:bCs/>
          <w:color w:val="auto"/>
          <w:szCs w:val="32"/>
          <w:highlight w:val="none"/>
        </w:rPr>
        <w:t>企业氮氧化物现状排放水平</w:t>
      </w:r>
    </w:p>
    <w:tbl>
      <w:tblPr>
        <w:tblStyle w:val="13"/>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634"/>
        <w:gridCol w:w="2317"/>
        <w:gridCol w:w="2319"/>
        <w:gridCol w:w="225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959"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主要污染物</w:t>
            </w:r>
          </w:p>
        </w:tc>
        <w:tc>
          <w:tcPr>
            <w:tcW w:w="1359"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自动监测数据浓度（mg/m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1360"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浓度分类（mg/m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1321"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数据占比（%）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959"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氮氧化物</w:t>
            </w:r>
          </w:p>
        </w:tc>
        <w:tc>
          <w:tcPr>
            <w:tcW w:w="1359" w:type="pct"/>
            <w:vMerge w:val="restart"/>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29.3~188.8</w:t>
            </w:r>
          </w:p>
        </w:tc>
        <w:tc>
          <w:tcPr>
            <w:tcW w:w="136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＜100</w:t>
            </w:r>
          </w:p>
        </w:tc>
        <w:tc>
          <w:tcPr>
            <w:tcW w:w="1321"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50.5%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959" w:type="pct"/>
            <w:vMerge w:val="continue"/>
            <w:vAlign w:val="center"/>
          </w:tcPr>
          <w:p>
            <w:pPr>
              <w:ind w:firstLine="0" w:firstLineChars="0"/>
              <w:jc w:val="center"/>
              <w:rPr>
                <w:rFonts w:cs="Times New Roman"/>
                <w:color w:val="auto"/>
                <w:sz w:val="24"/>
                <w:szCs w:val="24"/>
                <w:highlight w:val="none"/>
              </w:rPr>
            </w:pPr>
          </w:p>
        </w:tc>
        <w:tc>
          <w:tcPr>
            <w:tcW w:w="1359" w:type="pct"/>
            <w:vMerge w:val="continue"/>
            <w:vAlign w:val="center"/>
          </w:tcPr>
          <w:p>
            <w:pPr>
              <w:ind w:firstLine="0" w:firstLineChars="0"/>
              <w:jc w:val="center"/>
              <w:rPr>
                <w:rFonts w:cs="Times New Roman"/>
                <w:color w:val="auto"/>
                <w:sz w:val="24"/>
                <w:szCs w:val="24"/>
                <w:highlight w:val="none"/>
              </w:rPr>
            </w:pPr>
          </w:p>
        </w:tc>
        <w:tc>
          <w:tcPr>
            <w:tcW w:w="136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100～120</w:t>
            </w:r>
          </w:p>
        </w:tc>
        <w:tc>
          <w:tcPr>
            <w:tcW w:w="1321"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6.8%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8" w:hRule="atLeast"/>
        </w:trPr>
        <w:tc>
          <w:tcPr>
            <w:tcW w:w="959" w:type="pct"/>
            <w:vMerge w:val="continue"/>
            <w:vAlign w:val="center"/>
          </w:tcPr>
          <w:p>
            <w:pPr>
              <w:ind w:firstLine="0" w:firstLineChars="0"/>
              <w:jc w:val="center"/>
              <w:rPr>
                <w:rFonts w:cs="Times New Roman"/>
                <w:color w:val="auto"/>
                <w:sz w:val="24"/>
                <w:szCs w:val="24"/>
                <w:highlight w:val="none"/>
              </w:rPr>
            </w:pPr>
          </w:p>
        </w:tc>
        <w:tc>
          <w:tcPr>
            <w:tcW w:w="1359" w:type="pct"/>
            <w:vMerge w:val="continue"/>
            <w:vAlign w:val="center"/>
          </w:tcPr>
          <w:p>
            <w:pPr>
              <w:ind w:firstLine="0" w:firstLineChars="0"/>
              <w:jc w:val="center"/>
              <w:rPr>
                <w:rFonts w:cs="Times New Roman"/>
                <w:color w:val="auto"/>
                <w:sz w:val="24"/>
                <w:szCs w:val="24"/>
                <w:highlight w:val="none"/>
              </w:rPr>
            </w:pPr>
          </w:p>
        </w:tc>
        <w:tc>
          <w:tcPr>
            <w:tcW w:w="136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120～150</w:t>
            </w:r>
          </w:p>
        </w:tc>
        <w:tc>
          <w:tcPr>
            <w:tcW w:w="1321"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14.4%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trPr>
        <w:tc>
          <w:tcPr>
            <w:tcW w:w="959" w:type="pct"/>
            <w:vMerge w:val="continue"/>
            <w:vAlign w:val="center"/>
          </w:tcPr>
          <w:p>
            <w:pPr>
              <w:ind w:firstLine="0" w:firstLineChars="0"/>
              <w:jc w:val="center"/>
              <w:rPr>
                <w:rFonts w:cs="Times New Roman"/>
                <w:color w:val="auto"/>
                <w:sz w:val="24"/>
                <w:szCs w:val="24"/>
                <w:highlight w:val="none"/>
              </w:rPr>
            </w:pPr>
          </w:p>
        </w:tc>
        <w:tc>
          <w:tcPr>
            <w:tcW w:w="1359" w:type="pct"/>
            <w:vMerge w:val="continue"/>
            <w:vAlign w:val="center"/>
          </w:tcPr>
          <w:p>
            <w:pPr>
              <w:ind w:firstLine="0" w:firstLineChars="0"/>
              <w:jc w:val="center"/>
              <w:rPr>
                <w:rFonts w:cs="Times New Roman"/>
                <w:color w:val="auto"/>
                <w:sz w:val="24"/>
                <w:szCs w:val="24"/>
                <w:highlight w:val="none"/>
              </w:rPr>
            </w:pPr>
          </w:p>
        </w:tc>
        <w:tc>
          <w:tcPr>
            <w:tcW w:w="1360"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≥150</w:t>
            </w:r>
          </w:p>
        </w:tc>
        <w:tc>
          <w:tcPr>
            <w:tcW w:w="1321" w:type="pct"/>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28.4%</w:t>
            </w:r>
          </w:p>
        </w:tc>
      </w:tr>
    </w:tbl>
    <w:p>
      <w:pPr>
        <w:spacing w:line="240" w:lineRule="exact"/>
        <w:ind w:firstLine="707" w:firstLineChars="221"/>
        <w:rPr>
          <w:rFonts w:cs="Times New Roman"/>
          <w:color w:val="auto"/>
          <w:szCs w:val="32"/>
          <w:highlight w:val="none"/>
        </w:rPr>
      </w:pPr>
    </w:p>
    <w:p>
      <w:pPr>
        <w:ind w:firstLine="704" w:firstLineChars="220"/>
        <w:rPr>
          <w:rFonts w:cs="Times New Roman"/>
          <w:color w:val="auto"/>
          <w:szCs w:val="32"/>
          <w:highlight w:val="none"/>
        </w:rPr>
      </w:pPr>
      <w:r>
        <w:rPr>
          <w:rFonts w:cs="Times New Roman"/>
          <w:color w:val="auto"/>
          <w:szCs w:val="32"/>
          <w:highlight w:val="none"/>
        </w:rPr>
        <w:t>②日均值浓度</w:t>
      </w:r>
    </w:p>
    <w:p>
      <w:pPr>
        <w:ind w:firstLine="704" w:firstLineChars="220"/>
        <w:rPr>
          <w:rFonts w:cs="Times New Roman"/>
          <w:color w:val="auto"/>
          <w:szCs w:val="32"/>
          <w:highlight w:val="none"/>
        </w:rPr>
      </w:pPr>
      <w:r>
        <w:rPr>
          <w:rFonts w:cs="Times New Roman"/>
          <w:color w:val="auto"/>
          <w:szCs w:val="32"/>
          <w:highlight w:val="none"/>
        </w:rPr>
        <w:t>氮氧化物日均值有效数据21537个，日均值范围为28.8~191.4mg/m</w:t>
      </w:r>
      <w:r>
        <w:rPr>
          <w:rFonts w:cs="Times New Roman"/>
          <w:color w:val="auto"/>
          <w:szCs w:val="32"/>
          <w:highlight w:val="none"/>
          <w:vertAlign w:val="superscript"/>
        </w:rPr>
        <w:t>3</w:t>
      </w:r>
      <w:r>
        <w:rPr>
          <w:rFonts w:cs="Times New Roman"/>
          <w:color w:val="auto"/>
          <w:szCs w:val="32"/>
          <w:highlight w:val="none"/>
        </w:rPr>
        <w:t>，平均值为112.1 mg/m</w:t>
      </w:r>
      <w:r>
        <w:rPr>
          <w:rFonts w:cs="Times New Roman"/>
          <w:color w:val="auto"/>
          <w:szCs w:val="32"/>
          <w:highlight w:val="none"/>
          <w:vertAlign w:val="superscript"/>
        </w:rPr>
        <w:t>3</w:t>
      </w:r>
      <w:r>
        <w:rPr>
          <w:rFonts w:cs="Times New Roman"/>
          <w:color w:val="auto"/>
          <w:szCs w:val="32"/>
          <w:highlight w:val="none"/>
        </w:rPr>
        <w:t>，日均值浓度数据低于120mg/m</w:t>
      </w:r>
      <w:r>
        <w:rPr>
          <w:rFonts w:cs="Times New Roman"/>
          <w:color w:val="auto"/>
          <w:szCs w:val="32"/>
          <w:highlight w:val="none"/>
          <w:vertAlign w:val="superscript"/>
        </w:rPr>
        <w:t>3</w:t>
      </w:r>
      <w:r>
        <w:rPr>
          <w:rFonts w:cs="Times New Roman"/>
          <w:color w:val="auto"/>
          <w:szCs w:val="32"/>
          <w:highlight w:val="none"/>
        </w:rPr>
        <w:t>数据占比为57.9%，高于120mg/m</w:t>
      </w:r>
      <w:r>
        <w:rPr>
          <w:rFonts w:cs="Times New Roman"/>
          <w:color w:val="auto"/>
          <w:szCs w:val="32"/>
          <w:highlight w:val="none"/>
          <w:vertAlign w:val="superscript"/>
        </w:rPr>
        <w:t>3</w:t>
      </w:r>
      <w:r>
        <w:rPr>
          <w:rFonts w:cs="Times New Roman"/>
          <w:color w:val="auto"/>
          <w:szCs w:val="32"/>
          <w:highlight w:val="none"/>
        </w:rPr>
        <w:t>数据占比为42.1%。</w:t>
      </w:r>
    </w:p>
    <w:p>
      <w:pPr>
        <w:ind w:firstLine="640"/>
        <w:rPr>
          <w:rFonts w:cs="Times New Roman"/>
          <w:color w:val="auto"/>
          <w:szCs w:val="32"/>
          <w:highlight w:val="none"/>
        </w:rPr>
      </w:pPr>
      <w:r>
        <w:rPr>
          <w:rFonts w:cs="Times New Roman"/>
          <w:color w:val="auto"/>
          <w:szCs w:val="32"/>
          <w:highlight w:val="none"/>
        </w:rPr>
        <w:t>对比分析自动监测数据氮氧化物和氨逃逸浓度情况，在氨逃逸＜8mg/m</w:t>
      </w:r>
      <w:r>
        <w:rPr>
          <w:rFonts w:cs="Times New Roman"/>
          <w:color w:val="auto"/>
          <w:szCs w:val="32"/>
          <w:highlight w:val="none"/>
          <w:vertAlign w:val="superscript"/>
        </w:rPr>
        <w:t>3</w:t>
      </w:r>
      <w:r>
        <w:rPr>
          <w:rFonts w:cs="Times New Roman"/>
          <w:color w:val="auto"/>
          <w:szCs w:val="32"/>
          <w:highlight w:val="none"/>
        </w:rPr>
        <w:t>时，对应的氮氧化物小时平均排放浓度较高，随着氨逃逸浓度的增加，对应的氮氧化物平均浓度有下降的趋势。</w:t>
      </w:r>
    </w:p>
    <w:p>
      <w:pPr>
        <w:tabs>
          <w:tab w:val="left" w:pos="360"/>
        </w:tabs>
        <w:ind w:firstLine="0" w:firstLineChars="0"/>
        <w:jc w:val="both"/>
        <w:rPr>
          <w:rFonts w:eastAsia="仿宋" w:cs="Times New Roman"/>
          <w:b/>
          <w:bCs/>
          <w:color w:val="auto"/>
          <w:sz w:val="22"/>
          <w:highlight w:val="none"/>
        </w:rPr>
      </w:pPr>
      <w:r>
        <w:rPr>
          <w:rFonts w:cs="Times New Roman"/>
          <w:b/>
          <w:bCs/>
          <w:color w:val="auto"/>
          <w:szCs w:val="32"/>
          <w:highlight w:val="none"/>
        </w:rPr>
        <w:t xml:space="preserve">表5.4-9  </w:t>
      </w:r>
      <w:r>
        <w:rPr>
          <w:rFonts w:cs="Times New Roman"/>
          <w:color w:val="auto"/>
          <w:szCs w:val="32"/>
          <w:highlight w:val="none"/>
        </w:rPr>
        <w:t xml:space="preserve"> </w:t>
      </w:r>
      <w:r>
        <w:rPr>
          <w:rFonts w:hint="eastAsia" w:cs="Times New Roman"/>
          <w:color w:val="auto"/>
          <w:szCs w:val="32"/>
          <w:highlight w:val="none"/>
          <w:lang w:val="en-US" w:eastAsia="zh-CN"/>
        </w:rPr>
        <w:t xml:space="preserve">      </w:t>
      </w:r>
      <w:r>
        <w:rPr>
          <w:rFonts w:cs="Times New Roman"/>
          <w:b/>
          <w:bCs/>
          <w:color w:val="auto"/>
          <w:szCs w:val="32"/>
          <w:highlight w:val="none"/>
        </w:rPr>
        <w:t>氮氧化物和氨逃逸对比分析</w:t>
      </w:r>
    </w:p>
    <w:tbl>
      <w:tblPr>
        <w:tblStyle w:val="13"/>
        <w:tblW w:w="5000" w:type="pct"/>
        <w:tblInd w:w="0" w:type="dxa"/>
        <w:tblLayout w:type="autofit"/>
        <w:tblCellMar>
          <w:top w:w="0" w:type="dxa"/>
          <w:left w:w="108" w:type="dxa"/>
          <w:bottom w:w="0" w:type="dxa"/>
          <w:right w:w="108" w:type="dxa"/>
        </w:tblCellMar>
      </w:tblPr>
      <w:tblGrid>
        <w:gridCol w:w="1668"/>
        <w:gridCol w:w="2976"/>
        <w:gridCol w:w="3878"/>
      </w:tblGrid>
      <w:tr>
        <w:tblPrEx>
          <w:tblCellMar>
            <w:top w:w="0" w:type="dxa"/>
            <w:left w:w="108" w:type="dxa"/>
            <w:bottom w:w="0" w:type="dxa"/>
            <w:right w:w="108" w:type="dxa"/>
          </w:tblCellMar>
        </w:tblPrEx>
        <w:trPr>
          <w:trHeight w:val="420" w:hRule="atLeast"/>
          <w:tblHeader/>
        </w:trPr>
        <w:tc>
          <w:tcPr>
            <w:tcW w:w="979" w:type="pct"/>
            <w:tcBorders>
              <w:top w:val="single" w:color="auto" w:sz="4" w:space="0"/>
              <w:left w:val="single" w:color="auto" w:sz="4" w:space="0"/>
              <w:bottom w:val="single" w:color="auto" w:sz="4" w:space="0"/>
              <w:right w:val="single" w:color="auto" w:sz="4" w:space="0"/>
            </w:tcBorders>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序号</w:t>
            </w:r>
          </w:p>
        </w:tc>
        <w:tc>
          <w:tcPr>
            <w:tcW w:w="1746" w:type="pct"/>
            <w:tcBorders>
              <w:top w:val="single" w:color="auto" w:sz="4" w:space="0"/>
              <w:left w:val="nil"/>
              <w:bottom w:val="single" w:color="auto" w:sz="4" w:space="0"/>
              <w:right w:val="single" w:color="auto" w:sz="4" w:space="0"/>
            </w:tcBorders>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氮氧化物平均浓度（mg/m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2275" w:type="pct"/>
            <w:tcBorders>
              <w:top w:val="single" w:color="auto" w:sz="4" w:space="0"/>
              <w:left w:val="nil"/>
              <w:bottom w:val="single" w:color="auto" w:sz="4" w:space="0"/>
              <w:right w:val="single" w:color="auto" w:sz="4" w:space="0"/>
            </w:tcBorders>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氨逃逸浓度</w:t>
            </w:r>
          </w:p>
          <w:p>
            <w:pPr>
              <w:ind w:firstLine="0" w:firstLineChars="0"/>
              <w:jc w:val="center"/>
              <w:rPr>
                <w:rFonts w:cs="Times New Roman"/>
                <w:b/>
                <w:bCs/>
                <w:color w:val="auto"/>
                <w:sz w:val="24"/>
                <w:szCs w:val="24"/>
                <w:highlight w:val="none"/>
              </w:rPr>
            </w:pPr>
            <w:r>
              <w:rPr>
                <w:rFonts w:cs="Times New Roman"/>
                <w:b/>
                <w:bCs/>
                <w:color w:val="auto"/>
                <w:sz w:val="24"/>
                <w:szCs w:val="24"/>
                <w:highlight w:val="none"/>
              </w:rPr>
              <w:t>（mg/m</w:t>
            </w:r>
            <w:r>
              <w:rPr>
                <w:rFonts w:cs="Times New Roman"/>
                <w:b/>
                <w:bCs/>
                <w:color w:val="auto"/>
                <w:sz w:val="24"/>
                <w:szCs w:val="24"/>
                <w:highlight w:val="none"/>
                <w:vertAlign w:val="superscript"/>
              </w:rPr>
              <w:t>3</w:t>
            </w:r>
            <w:r>
              <w:rPr>
                <w:rFonts w:cs="Times New Roman"/>
                <w:b/>
                <w:bCs/>
                <w:color w:val="auto"/>
                <w:sz w:val="24"/>
                <w:szCs w:val="24"/>
                <w:highlight w:val="none"/>
              </w:rPr>
              <w:t>）</w:t>
            </w:r>
          </w:p>
        </w:tc>
      </w:tr>
      <w:tr>
        <w:tblPrEx>
          <w:tblCellMar>
            <w:top w:w="0" w:type="dxa"/>
            <w:left w:w="108" w:type="dxa"/>
            <w:bottom w:w="0" w:type="dxa"/>
            <w:right w:w="108" w:type="dxa"/>
          </w:tblCellMar>
        </w:tblPrEx>
        <w:trPr>
          <w:trHeight w:val="510" w:hRule="atLeast"/>
        </w:trPr>
        <w:tc>
          <w:tcPr>
            <w:tcW w:w="979" w:type="pct"/>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w:t>
            </w:r>
          </w:p>
        </w:tc>
        <w:tc>
          <w:tcPr>
            <w:tcW w:w="1746" w:type="pct"/>
            <w:tcBorders>
              <w:top w:val="nil"/>
              <w:left w:val="nil"/>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155.59</w:t>
            </w:r>
          </w:p>
        </w:tc>
        <w:tc>
          <w:tcPr>
            <w:tcW w:w="2275" w:type="pct"/>
            <w:tcBorders>
              <w:top w:val="nil"/>
              <w:left w:val="nil"/>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≤8</w:t>
            </w:r>
          </w:p>
        </w:tc>
      </w:tr>
      <w:tr>
        <w:tblPrEx>
          <w:tblCellMar>
            <w:top w:w="0" w:type="dxa"/>
            <w:left w:w="108" w:type="dxa"/>
            <w:bottom w:w="0" w:type="dxa"/>
            <w:right w:w="108" w:type="dxa"/>
          </w:tblCellMar>
        </w:tblPrEx>
        <w:trPr>
          <w:trHeight w:val="420" w:hRule="atLeast"/>
        </w:trPr>
        <w:tc>
          <w:tcPr>
            <w:tcW w:w="979" w:type="pct"/>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2</w:t>
            </w:r>
          </w:p>
        </w:tc>
        <w:tc>
          <w:tcPr>
            <w:tcW w:w="1746" w:type="pct"/>
            <w:tcBorders>
              <w:top w:val="nil"/>
              <w:left w:val="nil"/>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133.27</w:t>
            </w:r>
          </w:p>
        </w:tc>
        <w:tc>
          <w:tcPr>
            <w:tcW w:w="2275" w:type="pct"/>
            <w:tcBorders>
              <w:top w:val="nil"/>
              <w:left w:val="nil"/>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8~10</w:t>
            </w:r>
          </w:p>
        </w:tc>
      </w:tr>
      <w:tr>
        <w:tblPrEx>
          <w:tblCellMar>
            <w:top w:w="0" w:type="dxa"/>
            <w:left w:w="108" w:type="dxa"/>
            <w:bottom w:w="0" w:type="dxa"/>
            <w:right w:w="108" w:type="dxa"/>
          </w:tblCellMar>
        </w:tblPrEx>
        <w:trPr>
          <w:trHeight w:val="420" w:hRule="atLeast"/>
        </w:trPr>
        <w:tc>
          <w:tcPr>
            <w:tcW w:w="979" w:type="pct"/>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3</w:t>
            </w:r>
          </w:p>
        </w:tc>
        <w:tc>
          <w:tcPr>
            <w:tcW w:w="1746" w:type="pct"/>
            <w:tcBorders>
              <w:top w:val="nil"/>
              <w:left w:val="nil"/>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125.57</w:t>
            </w:r>
          </w:p>
        </w:tc>
        <w:tc>
          <w:tcPr>
            <w:tcW w:w="2275" w:type="pct"/>
            <w:tcBorders>
              <w:top w:val="nil"/>
              <w:left w:val="nil"/>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10~12</w:t>
            </w:r>
          </w:p>
        </w:tc>
      </w:tr>
      <w:tr>
        <w:tblPrEx>
          <w:tblCellMar>
            <w:top w:w="0" w:type="dxa"/>
            <w:left w:w="108" w:type="dxa"/>
            <w:bottom w:w="0" w:type="dxa"/>
            <w:right w:w="108" w:type="dxa"/>
          </w:tblCellMar>
        </w:tblPrEx>
        <w:trPr>
          <w:trHeight w:val="420" w:hRule="atLeast"/>
        </w:trPr>
        <w:tc>
          <w:tcPr>
            <w:tcW w:w="979" w:type="pct"/>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4</w:t>
            </w:r>
          </w:p>
        </w:tc>
        <w:tc>
          <w:tcPr>
            <w:tcW w:w="1746" w:type="pct"/>
            <w:tcBorders>
              <w:top w:val="nil"/>
              <w:left w:val="nil"/>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113.27</w:t>
            </w:r>
          </w:p>
        </w:tc>
        <w:tc>
          <w:tcPr>
            <w:tcW w:w="2275" w:type="pct"/>
            <w:tcBorders>
              <w:top w:val="nil"/>
              <w:left w:val="nil"/>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12~15</w:t>
            </w:r>
          </w:p>
        </w:tc>
      </w:tr>
      <w:tr>
        <w:tblPrEx>
          <w:tblCellMar>
            <w:top w:w="0" w:type="dxa"/>
            <w:left w:w="108" w:type="dxa"/>
            <w:bottom w:w="0" w:type="dxa"/>
            <w:right w:w="108" w:type="dxa"/>
          </w:tblCellMar>
        </w:tblPrEx>
        <w:trPr>
          <w:trHeight w:val="420" w:hRule="atLeast"/>
        </w:trPr>
        <w:tc>
          <w:tcPr>
            <w:tcW w:w="979" w:type="pct"/>
            <w:tcBorders>
              <w:top w:val="nil"/>
              <w:left w:val="single" w:color="auto" w:sz="4" w:space="0"/>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5</w:t>
            </w:r>
          </w:p>
        </w:tc>
        <w:tc>
          <w:tcPr>
            <w:tcW w:w="1746" w:type="pct"/>
            <w:tcBorders>
              <w:top w:val="nil"/>
              <w:left w:val="nil"/>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115.57</w:t>
            </w:r>
          </w:p>
        </w:tc>
        <w:tc>
          <w:tcPr>
            <w:tcW w:w="2275" w:type="pct"/>
            <w:tcBorders>
              <w:top w:val="nil"/>
              <w:left w:val="nil"/>
              <w:bottom w:val="single" w:color="auto" w:sz="4" w:space="0"/>
              <w:right w:val="single" w:color="auto" w:sz="4" w:space="0"/>
            </w:tcBorders>
            <w:shd w:val="clear" w:color="auto" w:fill="auto"/>
            <w:vAlign w:val="center"/>
          </w:tcPr>
          <w:p>
            <w:pPr>
              <w:ind w:firstLine="0" w:firstLineChars="0"/>
              <w:jc w:val="center"/>
              <w:rPr>
                <w:rFonts w:cs="Times New Roman"/>
                <w:color w:val="auto"/>
                <w:sz w:val="24"/>
                <w:szCs w:val="24"/>
                <w:highlight w:val="none"/>
              </w:rPr>
            </w:pPr>
            <w:r>
              <w:rPr>
                <w:rFonts w:cs="Times New Roman"/>
                <w:color w:val="auto"/>
                <w:sz w:val="24"/>
                <w:szCs w:val="24"/>
                <w:highlight w:val="none"/>
              </w:rPr>
              <w:t>＞15</w:t>
            </w:r>
          </w:p>
        </w:tc>
      </w:tr>
    </w:tbl>
    <w:p>
      <w:pPr>
        <w:spacing w:line="240" w:lineRule="exact"/>
        <w:ind w:firstLine="640"/>
        <w:rPr>
          <w:rFonts w:cs="Times New Roman"/>
          <w:color w:val="auto"/>
          <w:szCs w:val="32"/>
          <w:highlight w:val="none"/>
        </w:rPr>
      </w:pPr>
    </w:p>
    <w:p>
      <w:pPr>
        <w:spacing w:line="360" w:lineRule="auto"/>
        <w:ind w:left="420" w:firstLine="0" w:firstLineChars="0"/>
        <w:rPr>
          <w:rFonts w:cs="Times New Roman"/>
          <w:color w:val="auto"/>
          <w:szCs w:val="32"/>
          <w:highlight w:val="none"/>
        </w:rPr>
      </w:pPr>
      <w:r>
        <w:rPr>
          <w:rFonts w:cs="Times New Roman"/>
          <w:color w:val="auto"/>
          <w:szCs w:val="32"/>
          <w:highlight w:val="none"/>
        </w:rPr>
        <w:t>（3）排放水平理论分析</w:t>
      </w:r>
    </w:p>
    <w:p>
      <w:pPr>
        <w:spacing w:line="360" w:lineRule="auto"/>
        <w:ind w:firstLine="640"/>
        <w:rPr>
          <w:rFonts w:cs="Times New Roman"/>
          <w:color w:val="auto"/>
          <w:highlight w:val="none"/>
        </w:rPr>
      </w:pPr>
      <w:r>
        <w:rPr>
          <w:rFonts w:cs="Times New Roman"/>
          <w:color w:val="auto"/>
          <w:highlight w:val="none"/>
        </w:rPr>
        <w:t>编制组查阅相关文献、技术资料等，焚烧烟气中氮氧化物初始浓度约为 350mg/m</w:t>
      </w:r>
      <w:r>
        <w:rPr>
          <w:rFonts w:cs="Times New Roman"/>
          <w:color w:val="auto"/>
          <w:highlight w:val="none"/>
          <w:vertAlign w:val="superscript"/>
        </w:rPr>
        <w:t>3</w:t>
      </w:r>
      <w:r>
        <w:rPr>
          <w:rFonts w:cs="Times New Roman"/>
          <w:color w:val="auto"/>
          <w:highlight w:val="none"/>
        </w:rPr>
        <w:t xml:space="preserve"> 左右。“SNCR+SCR”对氮氧化物的去除效率可达80%以上，氮氧化物排放浓度为70mg/m</w:t>
      </w:r>
      <w:r>
        <w:rPr>
          <w:rFonts w:cs="Times New Roman"/>
          <w:color w:val="auto"/>
          <w:highlight w:val="none"/>
          <w:vertAlign w:val="superscript"/>
        </w:rPr>
        <w:t>3</w:t>
      </w:r>
      <w:r>
        <w:rPr>
          <w:rFonts w:cs="Times New Roman"/>
          <w:color w:val="auto"/>
          <w:highlight w:val="none"/>
        </w:rPr>
        <w:t xml:space="preserve"> 以下，可达到本标准排放限值。 “SNCR+PNCR”对</w:t>
      </w:r>
      <w:bookmarkStart w:id="147" w:name="_Hlk120564784"/>
      <w:r>
        <w:rPr>
          <w:rFonts w:cs="Times New Roman"/>
          <w:color w:val="auto"/>
          <w:highlight w:val="none"/>
        </w:rPr>
        <w:t>氮氧化物</w:t>
      </w:r>
      <w:bookmarkEnd w:id="147"/>
      <w:r>
        <w:rPr>
          <w:rFonts w:cs="Times New Roman"/>
          <w:color w:val="auto"/>
          <w:highlight w:val="none"/>
        </w:rPr>
        <w:t>的去除效率可达70%以上，氮氧化物排放浓度为105mg/m</w:t>
      </w:r>
      <w:r>
        <w:rPr>
          <w:rFonts w:cs="Times New Roman"/>
          <w:color w:val="auto"/>
          <w:highlight w:val="none"/>
          <w:vertAlign w:val="superscript"/>
        </w:rPr>
        <w:t>3</w:t>
      </w:r>
      <w:r>
        <w:rPr>
          <w:rFonts w:cs="Times New Roman"/>
          <w:color w:val="auto"/>
          <w:highlight w:val="none"/>
        </w:rPr>
        <w:t xml:space="preserve"> ，可达到本标准排放限值</w:t>
      </w:r>
      <w:bookmarkStart w:id="148" w:name="_Hlk120564853"/>
      <w:r>
        <w:rPr>
          <w:rFonts w:cs="Times New Roman"/>
          <w:color w:val="auto"/>
          <w:highlight w:val="none"/>
        </w:rPr>
        <w:t>。</w:t>
      </w:r>
      <w:bookmarkEnd w:id="148"/>
    </w:p>
    <w:p>
      <w:pPr>
        <w:spacing w:line="360" w:lineRule="auto"/>
        <w:ind w:firstLine="640"/>
        <w:rPr>
          <w:rFonts w:cs="Times New Roman"/>
          <w:color w:val="auto"/>
          <w:highlight w:val="none"/>
        </w:rPr>
      </w:pPr>
      <w:r>
        <w:rPr>
          <w:rFonts w:cs="Times New Roman"/>
          <w:color w:val="auto"/>
          <w:highlight w:val="none"/>
        </w:rPr>
        <w:t>综上所述，我省生活垃圾焚烧企业基本采用的脱硝工艺为SNCR脱硝、SCR脱硝、PNCR脱硝以及低氮燃烧技术或者上述脱硝工艺的组合，考虑到 SNCR工艺达标率相对过低，后期脱硝设施提标改造将产生较大的经济投入和工程量，因此从统筹兼顾减少生活垃圾焚烧企业污染物排放量和不给企业增加运营压力的原则出发，确定</w:t>
      </w:r>
      <w:bookmarkStart w:id="149" w:name="_Hlk120564815"/>
      <w:r>
        <w:rPr>
          <w:rFonts w:cs="Times New Roman"/>
          <w:color w:val="auto"/>
          <w:highlight w:val="none"/>
        </w:rPr>
        <w:t>氮氧化物1</w:t>
      </w:r>
      <w:r>
        <w:rPr>
          <w:rFonts w:hint="eastAsia" w:cs="Times New Roman"/>
          <w:color w:val="auto"/>
          <w:highlight w:val="none"/>
          <w:lang w:val="en-US" w:eastAsia="zh-CN"/>
        </w:rPr>
        <w:t>小时</w:t>
      </w:r>
      <w:r>
        <w:rPr>
          <w:rFonts w:cs="Times New Roman"/>
          <w:color w:val="auto"/>
          <w:highlight w:val="none"/>
        </w:rPr>
        <w:t>均值排放限值为150mg/m</w:t>
      </w:r>
      <w:r>
        <w:rPr>
          <w:rFonts w:cs="Times New Roman"/>
          <w:color w:val="auto"/>
          <w:highlight w:val="none"/>
          <w:vertAlign w:val="superscript"/>
        </w:rPr>
        <w:t>3</w:t>
      </w:r>
      <w:r>
        <w:rPr>
          <w:rFonts w:cs="Times New Roman"/>
          <w:color w:val="auto"/>
          <w:highlight w:val="none"/>
        </w:rPr>
        <w:t>，24小时均值排放限值为 120mg/m</w:t>
      </w:r>
      <w:r>
        <w:rPr>
          <w:rFonts w:cs="Times New Roman"/>
          <w:color w:val="auto"/>
          <w:highlight w:val="none"/>
          <w:vertAlign w:val="superscript"/>
        </w:rPr>
        <w:t>3</w:t>
      </w:r>
      <w:bookmarkEnd w:id="149"/>
      <w:r>
        <w:rPr>
          <w:rFonts w:cs="Times New Roman"/>
          <w:color w:val="auto"/>
          <w:highlight w:val="none"/>
        </w:rPr>
        <w:t>；氨1</w:t>
      </w:r>
      <w:r>
        <w:rPr>
          <w:rFonts w:hint="eastAsia" w:cs="Times New Roman"/>
          <w:color w:val="auto"/>
          <w:highlight w:val="none"/>
          <w:lang w:val="en-US" w:eastAsia="zh-CN"/>
        </w:rPr>
        <w:t>小时</w:t>
      </w:r>
      <w:r>
        <w:rPr>
          <w:rFonts w:cs="Times New Roman"/>
          <w:color w:val="auto"/>
          <w:highlight w:val="none"/>
        </w:rPr>
        <w:t>均值排放限值为 12mg/m</w:t>
      </w:r>
      <w:r>
        <w:rPr>
          <w:rFonts w:cs="Times New Roman"/>
          <w:color w:val="auto"/>
          <w:highlight w:val="none"/>
          <w:vertAlign w:val="superscript"/>
        </w:rPr>
        <w:t>3</w:t>
      </w:r>
      <w:r>
        <w:rPr>
          <w:rFonts w:cs="Times New Roman"/>
          <w:color w:val="auto"/>
          <w:highlight w:val="none"/>
        </w:rPr>
        <w:t>，24小时均值排放限值为8mg/m</w:t>
      </w:r>
      <w:r>
        <w:rPr>
          <w:rFonts w:cs="Times New Roman"/>
          <w:color w:val="auto"/>
          <w:highlight w:val="none"/>
          <w:vertAlign w:val="superscript"/>
        </w:rPr>
        <w:t>3</w:t>
      </w:r>
      <w:r>
        <w:rPr>
          <w:rFonts w:cs="Times New Roman"/>
          <w:color w:val="auto"/>
          <w:highlight w:val="none"/>
        </w:rPr>
        <w:t>。</w:t>
      </w:r>
    </w:p>
    <w:p>
      <w:pPr>
        <w:pStyle w:val="4"/>
        <w:spacing w:before="156" w:after="156"/>
        <w:ind w:left="0" w:leftChars="0" w:firstLine="0" w:firstLineChars="0"/>
        <w:rPr>
          <w:rFonts w:ascii="Times New Roman" w:hAnsi="Times New Roman" w:eastAsia="仿宋_GB2312" w:cs="Times New Roman"/>
          <w:b/>
          <w:bCs/>
          <w:color w:val="auto"/>
          <w:szCs w:val="22"/>
          <w:highlight w:val="none"/>
          <w:lang w:val="zh-CN"/>
        </w:rPr>
      </w:pPr>
      <w:bookmarkStart w:id="150" w:name="_Toc19717"/>
      <w:bookmarkStart w:id="151" w:name="_Toc12906"/>
      <w:bookmarkStart w:id="152" w:name="_Toc30766"/>
      <w:r>
        <w:rPr>
          <w:rFonts w:ascii="Times New Roman" w:hAnsi="Times New Roman" w:eastAsia="仿宋_GB2312" w:cs="Times New Roman"/>
          <w:b/>
          <w:bCs/>
          <w:color w:val="auto"/>
          <w:szCs w:val="22"/>
          <w:highlight w:val="none"/>
          <w:lang w:val="zh-CN"/>
        </w:rPr>
        <w:t>5.4.3 无组织排放</w:t>
      </w:r>
      <w:bookmarkEnd w:id="150"/>
      <w:bookmarkEnd w:id="151"/>
      <w:r>
        <w:rPr>
          <w:rFonts w:ascii="Times New Roman" w:hAnsi="Times New Roman" w:eastAsia="仿宋_GB2312" w:cs="Times New Roman"/>
          <w:b/>
          <w:bCs/>
          <w:color w:val="auto"/>
          <w:szCs w:val="22"/>
          <w:highlight w:val="none"/>
          <w:lang w:val="zh-CN"/>
        </w:rPr>
        <w:t>规定</w:t>
      </w:r>
      <w:bookmarkEnd w:id="152"/>
    </w:p>
    <w:p>
      <w:pPr>
        <w:spacing w:line="360" w:lineRule="auto"/>
        <w:ind w:firstLine="640"/>
        <w:rPr>
          <w:rFonts w:cs="Times New Roman"/>
          <w:color w:val="auto"/>
          <w:szCs w:val="32"/>
          <w:highlight w:val="none"/>
        </w:rPr>
      </w:pPr>
      <w:r>
        <w:rPr>
          <w:rFonts w:cs="Times New Roman"/>
          <w:color w:val="auto"/>
          <w:szCs w:val="32"/>
          <w:highlight w:val="none"/>
        </w:rPr>
        <w:t>根据生活垃圾焚烧企业特点，</w:t>
      </w:r>
      <w:r>
        <w:rPr>
          <w:rFonts w:hint="eastAsia" w:cs="Times New Roman"/>
          <w:color w:val="auto"/>
          <w:szCs w:val="32"/>
          <w:highlight w:val="none"/>
          <w:lang w:val="en-US" w:eastAsia="zh-CN"/>
        </w:rPr>
        <w:t>结合</w:t>
      </w:r>
      <w:r>
        <w:rPr>
          <w:rFonts w:cs="Times New Roman"/>
          <w:color w:val="auto"/>
          <w:szCs w:val="32"/>
          <w:highlight w:val="none"/>
        </w:rPr>
        <w:t>《大气污染物综合排放标准》（GB 16297）</w:t>
      </w:r>
      <w:r>
        <w:rPr>
          <w:rFonts w:hint="eastAsia" w:cs="Times New Roman"/>
          <w:color w:val="auto"/>
          <w:szCs w:val="32"/>
          <w:highlight w:val="none"/>
          <w:lang w:eastAsia="zh-CN"/>
        </w:rPr>
        <w:t>，</w:t>
      </w:r>
      <w:r>
        <w:rPr>
          <w:rFonts w:cs="Times New Roman"/>
          <w:color w:val="auto"/>
          <w:szCs w:val="32"/>
          <w:highlight w:val="none"/>
        </w:rPr>
        <w:t>规定了颗粒物无组织排放浓度限值执行1.0 mg/m</w:t>
      </w:r>
      <w:r>
        <w:rPr>
          <w:rFonts w:cs="Times New Roman"/>
          <w:color w:val="auto"/>
          <w:szCs w:val="32"/>
          <w:highlight w:val="none"/>
          <w:vertAlign w:val="superscript"/>
        </w:rPr>
        <w:t>3</w:t>
      </w:r>
      <w:r>
        <w:rPr>
          <w:rFonts w:cs="Times New Roman"/>
          <w:color w:val="auto"/>
          <w:szCs w:val="32"/>
          <w:highlight w:val="none"/>
        </w:rPr>
        <w:t>；恶臭污染控制符合《恶臭污染物排放标准》（GB 14554）。</w:t>
      </w:r>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153" w:name="_Toc3564"/>
      <w:r>
        <w:rPr>
          <w:rFonts w:ascii="Times New Roman" w:hAnsi="Times New Roman" w:eastAsia="仿宋_GB2312" w:cs="Times New Roman"/>
          <w:b/>
          <w:bCs/>
          <w:color w:val="auto"/>
          <w:szCs w:val="22"/>
          <w:highlight w:val="none"/>
        </w:rPr>
        <w:t>5.5</w:t>
      </w:r>
      <w:r>
        <w:rPr>
          <w:rFonts w:hint="eastAsia" w:eastAsia="仿宋_GB2312" w:cs="Times New Roman"/>
          <w:b/>
          <w:bCs/>
          <w:color w:val="auto"/>
          <w:szCs w:val="22"/>
          <w:highlight w:val="none"/>
          <w:lang w:val="en-US" w:eastAsia="zh-CN"/>
        </w:rPr>
        <w:t xml:space="preserve"> </w:t>
      </w:r>
      <w:r>
        <w:rPr>
          <w:rFonts w:ascii="Times New Roman" w:hAnsi="Times New Roman" w:eastAsia="仿宋_GB2312" w:cs="Times New Roman"/>
          <w:b/>
          <w:bCs/>
          <w:color w:val="auto"/>
          <w:szCs w:val="22"/>
          <w:highlight w:val="none"/>
        </w:rPr>
        <w:t>其他控制要求</w:t>
      </w:r>
      <w:bookmarkEnd w:id="153"/>
      <w:r>
        <w:rPr>
          <w:rFonts w:ascii="Times New Roman" w:hAnsi="Times New Roman" w:eastAsia="仿宋_GB2312" w:cs="Times New Roman"/>
          <w:b/>
          <w:bCs/>
          <w:color w:val="auto"/>
          <w:szCs w:val="22"/>
          <w:highlight w:val="none"/>
        </w:rPr>
        <w:t xml:space="preserve"> </w:t>
      </w:r>
    </w:p>
    <w:p>
      <w:pPr>
        <w:spacing w:line="360" w:lineRule="auto"/>
        <w:ind w:firstLine="640"/>
        <w:rPr>
          <w:rFonts w:hint="eastAsia" w:cs="Times New Roman"/>
          <w:color w:val="auto"/>
          <w:kern w:val="0"/>
          <w:szCs w:val="32"/>
          <w:highlight w:val="none"/>
          <w:lang w:eastAsia="zh-CN"/>
        </w:rPr>
      </w:pPr>
      <w:r>
        <w:rPr>
          <w:rFonts w:cs="Times New Roman"/>
          <w:color w:val="auto"/>
          <w:kern w:val="0"/>
          <w:szCs w:val="32"/>
          <w:highlight w:val="none"/>
        </w:rPr>
        <w:t>本标准结合国家标准和河南省相关管理要求，主要规定了：生活垃圾的运输应采取密闭措施，避免在运输过程中发生垃圾遗撒、气味泄露和污水滴漏</w:t>
      </w:r>
      <w:bookmarkStart w:id="154" w:name="_Hlk120005971"/>
      <w:r>
        <w:rPr>
          <w:rFonts w:hint="eastAsia" w:cs="Times New Roman"/>
          <w:color w:val="auto"/>
          <w:kern w:val="0"/>
          <w:szCs w:val="32"/>
          <w:highlight w:val="none"/>
          <w:lang w:eastAsia="zh-CN"/>
        </w:rPr>
        <w:t>。</w:t>
      </w:r>
      <w:r>
        <w:rPr>
          <w:rFonts w:hint="eastAsia" w:cs="Times New Roman"/>
          <w:color w:val="auto"/>
          <w:kern w:val="0"/>
          <w:szCs w:val="32"/>
          <w:highlight w:val="none"/>
          <w:lang w:val="en-US" w:eastAsia="zh-CN"/>
        </w:rPr>
        <w:t>生活垃圾运输廊道应采取封闭措施，贮存设施应保持微负压状态。</w:t>
      </w:r>
      <w:r>
        <w:rPr>
          <w:rFonts w:cs="Times New Roman"/>
          <w:color w:val="auto"/>
          <w:kern w:val="0"/>
          <w:szCs w:val="32"/>
          <w:highlight w:val="none"/>
        </w:rPr>
        <w:t>生活垃圾焚烧炉炉膛内焚烧温度</w:t>
      </w:r>
      <w:bookmarkEnd w:id="154"/>
      <w:r>
        <w:rPr>
          <w:rFonts w:cs="Times New Roman"/>
          <w:color w:val="auto"/>
          <w:kern w:val="0"/>
          <w:szCs w:val="32"/>
          <w:highlight w:val="none"/>
        </w:rPr>
        <w:t>、炉膛内烟气停留时间和焚烧炉渣热灼率应满足GB 18485要求</w:t>
      </w:r>
      <w:r>
        <w:rPr>
          <w:rFonts w:hint="eastAsia" w:cs="Times New Roman"/>
          <w:color w:val="auto"/>
          <w:kern w:val="0"/>
          <w:szCs w:val="32"/>
          <w:highlight w:val="none"/>
          <w:lang w:eastAsia="zh-CN"/>
        </w:rPr>
        <w:t>。</w:t>
      </w:r>
      <w:r>
        <w:rPr>
          <w:rFonts w:cs="Times New Roman"/>
          <w:color w:val="auto"/>
          <w:kern w:val="0"/>
          <w:szCs w:val="32"/>
          <w:highlight w:val="none"/>
        </w:rPr>
        <w:t>每台生活垃圾</w:t>
      </w:r>
      <w:bookmarkStart w:id="155" w:name="_Hlk120006076"/>
      <w:r>
        <w:rPr>
          <w:rFonts w:cs="Times New Roman"/>
          <w:color w:val="auto"/>
          <w:kern w:val="0"/>
          <w:szCs w:val="32"/>
          <w:highlight w:val="none"/>
        </w:rPr>
        <w:t>焚烧炉必须单独设置烟气净化系统</w:t>
      </w:r>
      <w:bookmarkEnd w:id="155"/>
      <w:r>
        <w:rPr>
          <w:rFonts w:cs="Times New Roman"/>
          <w:color w:val="auto"/>
          <w:kern w:val="0"/>
          <w:szCs w:val="32"/>
          <w:highlight w:val="none"/>
        </w:rPr>
        <w:t>，处理后的烟气应采用独立的排气筒排放</w:t>
      </w:r>
      <w:r>
        <w:rPr>
          <w:rFonts w:hint="eastAsia" w:cs="Times New Roman"/>
          <w:color w:val="auto"/>
          <w:kern w:val="0"/>
          <w:szCs w:val="32"/>
          <w:highlight w:val="none"/>
          <w:lang w:eastAsia="zh-CN"/>
        </w:rPr>
        <w:t>，</w:t>
      </w:r>
      <w:r>
        <w:rPr>
          <w:rFonts w:hint="eastAsia" w:cs="Times New Roman"/>
          <w:color w:val="auto"/>
          <w:kern w:val="0"/>
          <w:szCs w:val="32"/>
          <w:highlight w:val="none"/>
        </w:rPr>
        <w:t>多台生活垃圾焚烧炉的排气筒</w:t>
      </w:r>
      <w:r>
        <w:rPr>
          <w:rFonts w:hint="eastAsia" w:cs="Times New Roman"/>
          <w:color w:val="auto"/>
          <w:kern w:val="0"/>
          <w:szCs w:val="32"/>
          <w:highlight w:val="none"/>
          <w:lang w:val="en-US" w:eastAsia="zh-CN"/>
        </w:rPr>
        <w:t>可</w:t>
      </w:r>
      <w:r>
        <w:rPr>
          <w:rFonts w:hint="eastAsia" w:cs="Times New Roman"/>
          <w:color w:val="auto"/>
          <w:kern w:val="0"/>
          <w:szCs w:val="32"/>
          <w:highlight w:val="none"/>
        </w:rPr>
        <w:t>采用多筒集束式排放</w:t>
      </w:r>
      <w:r>
        <w:rPr>
          <w:rFonts w:hint="eastAsia" w:cs="Times New Roman"/>
          <w:color w:val="auto"/>
          <w:kern w:val="0"/>
          <w:szCs w:val="32"/>
          <w:highlight w:val="none"/>
          <w:lang w:eastAsia="zh-CN"/>
        </w:rPr>
        <w:t>。</w:t>
      </w:r>
    </w:p>
    <w:p>
      <w:pPr>
        <w:spacing w:line="360" w:lineRule="auto"/>
        <w:ind w:firstLine="640"/>
        <w:rPr>
          <w:rFonts w:hint="eastAsia" w:cs="Times New Roman"/>
          <w:color w:val="auto"/>
          <w:kern w:val="0"/>
          <w:szCs w:val="32"/>
          <w:highlight w:val="none"/>
        </w:rPr>
      </w:pPr>
      <w:r>
        <w:rPr>
          <w:rFonts w:hint="eastAsia" w:cs="Times New Roman"/>
          <w:color w:val="auto"/>
          <w:kern w:val="0"/>
          <w:szCs w:val="32"/>
          <w:highlight w:val="none"/>
          <w:lang w:val="en-US" w:eastAsia="zh-CN"/>
        </w:rPr>
        <w:t>对生活垃圾飞灰处理处置进行了规定，规定了生活垃圾焚烧飞灰处理处置过程中应采取防护措施，防止飞灰飘散和遗撒，飞灰收集、输送、储</w:t>
      </w:r>
      <w:r>
        <w:rPr>
          <w:rFonts w:hint="default" w:cs="Times New Roman"/>
          <w:color w:val="auto"/>
          <w:kern w:val="0"/>
          <w:szCs w:val="32"/>
          <w:highlight w:val="none"/>
          <w:lang w:val="en-US" w:eastAsia="zh-CN"/>
        </w:rPr>
        <w:t>存与处理系统各装置应保持密闭状态，并</w:t>
      </w:r>
      <w:r>
        <w:rPr>
          <w:rFonts w:hint="eastAsia" w:cs="Times New Roman"/>
          <w:color w:val="auto"/>
          <w:kern w:val="0"/>
          <w:szCs w:val="32"/>
          <w:highlight w:val="none"/>
          <w:lang w:val="en-US" w:eastAsia="zh-CN"/>
        </w:rPr>
        <w:t>符合HJ 1134</w:t>
      </w:r>
      <w:r>
        <w:rPr>
          <w:rFonts w:hint="default" w:cs="Times New Roman"/>
          <w:color w:val="auto"/>
          <w:kern w:val="0"/>
          <w:szCs w:val="32"/>
          <w:highlight w:val="none"/>
          <w:lang w:val="en-US" w:eastAsia="zh-CN"/>
        </w:rPr>
        <w:t>要求</w:t>
      </w:r>
      <w:r>
        <w:rPr>
          <w:rFonts w:hint="eastAsia" w:cs="Times New Roman"/>
          <w:color w:val="auto"/>
          <w:kern w:val="0"/>
          <w:szCs w:val="32"/>
          <w:highlight w:val="none"/>
          <w:lang w:val="en-US" w:eastAsia="zh-CN"/>
        </w:rPr>
        <w:t>。</w:t>
      </w:r>
    </w:p>
    <w:p>
      <w:pPr>
        <w:ind w:firstLine="640"/>
        <w:rPr>
          <w:rFonts w:hint="eastAsia" w:cs="Times New Roman"/>
          <w:color w:val="auto"/>
          <w:szCs w:val="32"/>
          <w:highlight w:val="none"/>
        </w:rPr>
      </w:pPr>
      <w:r>
        <w:rPr>
          <w:rFonts w:hint="eastAsia" w:cs="Times New Roman"/>
          <w:color w:val="auto"/>
          <w:szCs w:val="32"/>
          <w:highlight w:val="none"/>
          <w:lang w:val="en-US" w:eastAsia="zh-CN"/>
        </w:rPr>
        <w:t>根据环境管理要求，规定了废气收集处理系统应与生产工艺设备同步运行。规定焚烧炉启动阶段，焚烧炉应在4小时内达到稳定工况，焚烧炉发生故障时应尽快修复，</w:t>
      </w:r>
      <w:r>
        <w:rPr>
          <w:rFonts w:hint="eastAsia" w:cs="Times New Roman"/>
          <w:color w:val="auto"/>
          <w:szCs w:val="32"/>
          <w:highlight w:val="none"/>
        </w:rPr>
        <w:t>如果无法修复应立即停止投加生活垃圾，启动垃圾助燃系统，保证剩余垃圾完全燃烧。每次故障或事故持续排放污染物时间不应超过4小时</w:t>
      </w:r>
      <w:r>
        <w:rPr>
          <w:rFonts w:hint="eastAsia" w:cs="Times New Roman"/>
          <w:color w:val="auto"/>
          <w:szCs w:val="32"/>
          <w:highlight w:val="none"/>
          <w:lang w:eastAsia="zh-CN"/>
        </w:rPr>
        <w:t>。</w:t>
      </w:r>
    </w:p>
    <w:p>
      <w:pPr>
        <w:ind w:firstLine="640"/>
        <w:rPr>
          <w:rFonts w:hint="eastAsia" w:cs="Times New Roman"/>
          <w:color w:val="auto"/>
          <w:kern w:val="0"/>
          <w:szCs w:val="32"/>
          <w:highlight w:val="none"/>
          <w:lang w:val="en-US" w:eastAsia="zh-CN"/>
        </w:rPr>
      </w:pPr>
      <w:r>
        <w:rPr>
          <w:rFonts w:cs="Times New Roman"/>
          <w:color w:val="auto"/>
          <w:szCs w:val="32"/>
          <w:highlight w:val="none"/>
        </w:rPr>
        <w:t>结合《生活垃圾焚烧污染控制标准》（GB 18485）要求，参照其他省份要求，规定焚烧炉在启炉、停炉、故障或事故时间内，所获得的监测数据不作为评价是否达到本文件排放限值的依据，但在此期间内颗粒物浓度的1小时均值不得大于150mg/m</w:t>
      </w:r>
      <w:r>
        <w:rPr>
          <w:rFonts w:cs="Times New Roman"/>
          <w:color w:val="auto"/>
          <w:szCs w:val="32"/>
          <w:highlight w:val="none"/>
          <w:vertAlign w:val="superscript"/>
        </w:rPr>
        <w:t>3</w:t>
      </w:r>
      <w:r>
        <w:rPr>
          <w:rFonts w:cs="Times New Roman"/>
          <w:color w:val="auto"/>
          <w:szCs w:val="32"/>
          <w:highlight w:val="none"/>
        </w:rPr>
        <w:t>。</w:t>
      </w:r>
      <w:r>
        <w:rPr>
          <w:rFonts w:cs="Times New Roman"/>
          <w:color w:val="auto"/>
          <w:kern w:val="0"/>
          <w:szCs w:val="32"/>
          <w:highlight w:val="none"/>
        </w:rPr>
        <w:t>一个自然年内，每台焚烧炉启炉、停炉、故障或事故排放污染物持续时间累计不应超过60 h。</w:t>
      </w:r>
      <w:r>
        <w:rPr>
          <w:rFonts w:hint="eastAsia" w:cs="Times New Roman"/>
          <w:color w:val="auto"/>
          <w:kern w:val="0"/>
          <w:szCs w:val="32"/>
          <w:highlight w:val="none"/>
          <w:lang w:val="en-US" w:eastAsia="zh-CN"/>
        </w:rPr>
        <w:t>并规定了</w:t>
      </w:r>
      <w:r>
        <w:rPr>
          <w:rFonts w:hint="eastAsia" w:cs="Times New Roman"/>
          <w:color w:val="auto"/>
          <w:kern w:val="0"/>
          <w:szCs w:val="32"/>
          <w:highlight w:val="none"/>
        </w:rPr>
        <w:t>燃烧器采用油作为</w:t>
      </w:r>
      <w:r>
        <w:rPr>
          <w:rFonts w:hint="eastAsia" w:cs="Times New Roman"/>
          <w:color w:val="auto"/>
          <w:kern w:val="0"/>
          <w:szCs w:val="32"/>
          <w:highlight w:val="none"/>
          <w:lang w:val="en-US" w:eastAsia="zh-CN"/>
        </w:rPr>
        <w:t>启炉、停炉、助燃用油</w:t>
      </w:r>
      <w:r>
        <w:rPr>
          <w:rFonts w:hint="eastAsia" w:cs="Times New Roman"/>
          <w:color w:val="auto"/>
          <w:kern w:val="0"/>
          <w:szCs w:val="32"/>
          <w:highlight w:val="none"/>
        </w:rPr>
        <w:t>时，不得采用重油</w:t>
      </w:r>
      <w:r>
        <w:rPr>
          <w:rFonts w:hint="eastAsia" w:cs="Times New Roman"/>
          <w:color w:val="auto"/>
          <w:kern w:val="0"/>
          <w:szCs w:val="32"/>
          <w:highlight w:val="none"/>
          <w:lang w:val="en-US" w:eastAsia="zh-CN"/>
        </w:rPr>
        <w:t>。</w:t>
      </w:r>
    </w:p>
    <w:p>
      <w:pPr>
        <w:rPr>
          <w:rFonts w:hint="eastAsia" w:cs="Times New Roman"/>
          <w:color w:val="auto"/>
          <w:szCs w:val="32"/>
          <w:highlight w:val="none"/>
          <w:lang w:val="en-US" w:eastAsia="zh-CN"/>
        </w:rPr>
      </w:pPr>
      <w:r>
        <w:rPr>
          <w:rFonts w:hint="eastAsia" w:cs="Times New Roman"/>
          <w:color w:val="auto"/>
          <w:szCs w:val="32"/>
          <w:highlight w:val="none"/>
        </w:rPr>
        <w:t>非正常工况下颗粒物浓度</w:t>
      </w:r>
      <w:r>
        <w:rPr>
          <w:rFonts w:hint="eastAsia" w:cs="Times New Roman"/>
          <w:color w:val="auto"/>
          <w:szCs w:val="32"/>
          <w:highlight w:val="none"/>
          <w:lang w:eastAsia="zh-CN"/>
        </w:rPr>
        <w:t>，统计已</w:t>
      </w:r>
      <w:r>
        <w:rPr>
          <w:rFonts w:cs="Times New Roman"/>
          <w:color w:val="auto"/>
          <w:szCs w:val="32"/>
          <w:highlight w:val="none"/>
        </w:rPr>
        <w:t>安装</w:t>
      </w:r>
      <w:r>
        <w:rPr>
          <w:rFonts w:hint="eastAsia" w:cs="Times New Roman"/>
          <w:color w:val="auto"/>
          <w:szCs w:val="32"/>
          <w:highlight w:val="none"/>
          <w:lang w:eastAsia="zh-CN"/>
        </w:rPr>
        <w:t>自动</w:t>
      </w:r>
      <w:r>
        <w:rPr>
          <w:rFonts w:cs="Times New Roman"/>
          <w:color w:val="auto"/>
          <w:szCs w:val="32"/>
          <w:highlight w:val="none"/>
        </w:rPr>
        <w:t>监控</w:t>
      </w:r>
      <w:r>
        <w:rPr>
          <w:rFonts w:hint="eastAsia" w:cs="Times New Roman"/>
          <w:color w:val="auto"/>
          <w:szCs w:val="32"/>
          <w:highlight w:val="none"/>
          <w:lang w:eastAsia="zh-CN"/>
        </w:rPr>
        <w:t>设施</w:t>
      </w:r>
      <w:r>
        <w:rPr>
          <w:rFonts w:cs="Times New Roman"/>
          <w:color w:val="auto"/>
          <w:szCs w:val="32"/>
          <w:highlight w:val="none"/>
        </w:rPr>
        <w:t>的</w:t>
      </w:r>
      <w:r>
        <w:rPr>
          <w:rFonts w:hint="eastAsia" w:cs="Times New Roman"/>
          <w:color w:val="auto"/>
          <w:szCs w:val="32"/>
          <w:highlight w:val="none"/>
        </w:rPr>
        <w:t>68</w:t>
      </w:r>
      <w:r>
        <w:rPr>
          <w:rFonts w:cs="Times New Roman"/>
          <w:color w:val="auto"/>
          <w:szCs w:val="32"/>
          <w:highlight w:val="none"/>
        </w:rPr>
        <w:t>家生活垃圾焚烧企业在</w:t>
      </w:r>
      <w:r>
        <w:rPr>
          <w:rFonts w:hint="eastAsia" w:cs="Times New Roman"/>
          <w:color w:val="auto"/>
          <w:szCs w:val="32"/>
          <w:highlight w:val="none"/>
          <w:lang w:val="en-US" w:eastAsia="zh-CN"/>
        </w:rPr>
        <w:t>2022年7月1日至2023年6月30日在线</w:t>
      </w:r>
      <w:r>
        <w:rPr>
          <w:rFonts w:cs="Times New Roman"/>
          <w:color w:val="auto"/>
          <w:szCs w:val="32"/>
          <w:highlight w:val="none"/>
        </w:rPr>
        <w:t>监控数据，</w:t>
      </w:r>
      <w:r>
        <w:rPr>
          <w:rFonts w:hint="eastAsia" w:cs="Times New Roman"/>
          <w:color w:val="auto"/>
          <w:szCs w:val="32"/>
          <w:highlight w:val="none"/>
          <w:lang w:val="en-US" w:eastAsia="zh-CN"/>
        </w:rPr>
        <w:t>非正常工况颗粒物</w:t>
      </w:r>
      <w:r>
        <w:rPr>
          <w:rFonts w:cs="Times New Roman"/>
          <w:color w:val="auto"/>
          <w:szCs w:val="32"/>
          <w:highlight w:val="none"/>
        </w:rPr>
        <w:t>小时浓度有效数据</w:t>
      </w:r>
      <w:r>
        <w:rPr>
          <w:rFonts w:hint="eastAsia" w:cs="Times New Roman"/>
          <w:color w:val="auto"/>
          <w:szCs w:val="32"/>
          <w:highlight w:val="none"/>
          <w:lang w:val="en-US" w:eastAsia="zh-CN"/>
        </w:rPr>
        <w:t>151511</w:t>
      </w:r>
      <w:r>
        <w:rPr>
          <w:rFonts w:cs="Times New Roman"/>
          <w:color w:val="auto"/>
          <w:szCs w:val="32"/>
          <w:highlight w:val="none"/>
        </w:rPr>
        <w:t>个，</w:t>
      </w:r>
      <w:r>
        <w:rPr>
          <w:rFonts w:hint="eastAsia" w:cs="Times New Roman"/>
          <w:color w:val="auto"/>
          <w:szCs w:val="32"/>
          <w:highlight w:val="none"/>
          <w:lang w:val="en-US" w:eastAsia="zh-CN"/>
        </w:rPr>
        <w:t>颗粒物</w:t>
      </w:r>
      <w:r>
        <w:rPr>
          <w:rFonts w:cs="Times New Roman"/>
          <w:color w:val="auto"/>
          <w:szCs w:val="32"/>
          <w:highlight w:val="none"/>
        </w:rPr>
        <w:t>小时浓度</w:t>
      </w:r>
      <w:r>
        <w:rPr>
          <w:rFonts w:hint="eastAsia" w:cs="Times New Roman"/>
          <w:color w:val="auto"/>
          <w:szCs w:val="32"/>
          <w:highlight w:val="none"/>
          <w:lang w:val="en-US" w:eastAsia="zh-CN"/>
        </w:rPr>
        <w:t>低于</w:t>
      </w:r>
      <w:r>
        <w:rPr>
          <w:rFonts w:cs="Times New Roman"/>
          <w:color w:val="auto"/>
          <w:szCs w:val="32"/>
          <w:highlight w:val="none"/>
        </w:rPr>
        <w:t>100mg/m</w:t>
      </w:r>
      <w:r>
        <w:rPr>
          <w:rFonts w:cs="Times New Roman"/>
          <w:color w:val="auto"/>
          <w:szCs w:val="32"/>
          <w:highlight w:val="none"/>
          <w:vertAlign w:val="superscript"/>
        </w:rPr>
        <w:t>3</w:t>
      </w:r>
      <w:r>
        <w:rPr>
          <w:rFonts w:cs="Times New Roman"/>
          <w:color w:val="auto"/>
          <w:szCs w:val="32"/>
          <w:highlight w:val="none"/>
        </w:rPr>
        <w:t>的</w:t>
      </w:r>
      <w:r>
        <w:rPr>
          <w:rFonts w:hint="eastAsia" w:cs="Times New Roman"/>
          <w:color w:val="auto"/>
          <w:szCs w:val="32"/>
          <w:highlight w:val="none"/>
          <w:lang w:val="en-US" w:eastAsia="zh-CN"/>
        </w:rPr>
        <w:t>比例</w:t>
      </w:r>
      <w:r>
        <w:rPr>
          <w:rFonts w:cs="Times New Roman"/>
          <w:color w:val="auto"/>
          <w:szCs w:val="32"/>
          <w:highlight w:val="none"/>
        </w:rPr>
        <w:t>为</w:t>
      </w:r>
      <w:r>
        <w:rPr>
          <w:rFonts w:hint="eastAsia" w:cs="Times New Roman"/>
          <w:color w:val="auto"/>
          <w:szCs w:val="32"/>
          <w:highlight w:val="none"/>
          <w:lang w:val="en-US" w:eastAsia="zh-CN"/>
        </w:rPr>
        <w:t>88.4</w:t>
      </w:r>
      <w:r>
        <w:rPr>
          <w:rFonts w:cs="Times New Roman"/>
          <w:color w:val="auto"/>
          <w:szCs w:val="32"/>
          <w:highlight w:val="none"/>
        </w:rPr>
        <w:t>%，小时</w:t>
      </w:r>
      <w:r>
        <w:rPr>
          <w:rFonts w:hint="eastAsia" w:cs="Times New Roman"/>
          <w:color w:val="auto"/>
          <w:szCs w:val="32"/>
          <w:highlight w:val="none"/>
          <w:lang w:val="en-US" w:eastAsia="zh-CN"/>
        </w:rPr>
        <w:t>低于120</w:t>
      </w:r>
      <w:r>
        <w:rPr>
          <w:rFonts w:cs="Times New Roman"/>
          <w:color w:val="auto"/>
          <w:szCs w:val="32"/>
          <w:highlight w:val="none"/>
        </w:rPr>
        <w:t>mg/m</w:t>
      </w:r>
      <w:r>
        <w:rPr>
          <w:rFonts w:cs="Times New Roman"/>
          <w:color w:val="auto"/>
          <w:szCs w:val="32"/>
          <w:highlight w:val="none"/>
          <w:vertAlign w:val="superscript"/>
        </w:rPr>
        <w:t>3</w:t>
      </w:r>
      <w:r>
        <w:rPr>
          <w:rFonts w:cs="Times New Roman"/>
          <w:color w:val="auto"/>
          <w:szCs w:val="32"/>
          <w:highlight w:val="none"/>
        </w:rPr>
        <w:t>的</w:t>
      </w:r>
      <w:r>
        <w:rPr>
          <w:rFonts w:hint="eastAsia" w:cs="Times New Roman"/>
          <w:color w:val="auto"/>
          <w:szCs w:val="32"/>
          <w:highlight w:val="none"/>
          <w:lang w:val="en-US" w:eastAsia="zh-CN"/>
        </w:rPr>
        <w:t>比例</w:t>
      </w:r>
      <w:r>
        <w:rPr>
          <w:rFonts w:cs="Times New Roman"/>
          <w:color w:val="auto"/>
          <w:szCs w:val="32"/>
          <w:highlight w:val="none"/>
        </w:rPr>
        <w:t>为</w:t>
      </w:r>
      <w:r>
        <w:rPr>
          <w:rFonts w:hint="eastAsia" w:cs="Times New Roman"/>
          <w:color w:val="auto"/>
          <w:szCs w:val="32"/>
          <w:highlight w:val="none"/>
          <w:lang w:val="en-US" w:eastAsia="zh-CN"/>
        </w:rPr>
        <w:t>89.7</w:t>
      </w:r>
      <w:r>
        <w:rPr>
          <w:rFonts w:cs="Times New Roman"/>
          <w:color w:val="auto"/>
          <w:szCs w:val="32"/>
          <w:highlight w:val="none"/>
        </w:rPr>
        <w:t>%</w:t>
      </w:r>
      <w:r>
        <w:rPr>
          <w:rFonts w:hint="eastAsia" w:cs="Times New Roman"/>
          <w:color w:val="auto"/>
          <w:szCs w:val="32"/>
          <w:highlight w:val="none"/>
          <w:lang w:eastAsia="zh-CN"/>
        </w:rPr>
        <w:t>，</w:t>
      </w:r>
      <w:r>
        <w:rPr>
          <w:rFonts w:cs="Times New Roman"/>
          <w:color w:val="auto"/>
          <w:szCs w:val="32"/>
          <w:highlight w:val="none"/>
        </w:rPr>
        <w:t>小时</w:t>
      </w:r>
      <w:r>
        <w:rPr>
          <w:rFonts w:hint="eastAsia" w:cs="Times New Roman"/>
          <w:color w:val="auto"/>
          <w:szCs w:val="32"/>
          <w:highlight w:val="none"/>
          <w:lang w:val="en-US" w:eastAsia="zh-CN"/>
        </w:rPr>
        <w:t>低于130</w:t>
      </w:r>
      <w:r>
        <w:rPr>
          <w:rFonts w:cs="Times New Roman"/>
          <w:color w:val="auto"/>
          <w:szCs w:val="32"/>
          <w:highlight w:val="none"/>
        </w:rPr>
        <w:t>mg/m</w:t>
      </w:r>
      <w:r>
        <w:rPr>
          <w:rFonts w:cs="Times New Roman"/>
          <w:color w:val="auto"/>
          <w:szCs w:val="32"/>
          <w:highlight w:val="none"/>
          <w:vertAlign w:val="superscript"/>
        </w:rPr>
        <w:t>3</w:t>
      </w:r>
      <w:r>
        <w:rPr>
          <w:rFonts w:cs="Times New Roman"/>
          <w:color w:val="auto"/>
          <w:szCs w:val="32"/>
          <w:highlight w:val="none"/>
        </w:rPr>
        <w:t>的</w:t>
      </w:r>
      <w:r>
        <w:rPr>
          <w:rFonts w:hint="eastAsia" w:cs="Times New Roman"/>
          <w:color w:val="auto"/>
          <w:szCs w:val="32"/>
          <w:highlight w:val="none"/>
          <w:lang w:val="en-US" w:eastAsia="zh-CN"/>
        </w:rPr>
        <w:t>比例</w:t>
      </w:r>
      <w:r>
        <w:rPr>
          <w:rFonts w:cs="Times New Roman"/>
          <w:color w:val="auto"/>
          <w:szCs w:val="32"/>
          <w:highlight w:val="none"/>
        </w:rPr>
        <w:t>为</w:t>
      </w:r>
      <w:r>
        <w:rPr>
          <w:rFonts w:hint="eastAsia" w:cs="Times New Roman"/>
          <w:color w:val="auto"/>
          <w:szCs w:val="32"/>
          <w:highlight w:val="none"/>
          <w:lang w:val="en-US" w:eastAsia="zh-CN"/>
        </w:rPr>
        <w:t>90.3</w:t>
      </w:r>
      <w:r>
        <w:rPr>
          <w:rFonts w:cs="Times New Roman"/>
          <w:color w:val="auto"/>
          <w:szCs w:val="32"/>
          <w:highlight w:val="none"/>
        </w:rPr>
        <w:t>%。</w:t>
      </w:r>
      <w:r>
        <w:rPr>
          <w:rFonts w:hint="eastAsia" w:cs="Times New Roman"/>
          <w:color w:val="auto"/>
          <w:szCs w:val="32"/>
          <w:highlight w:val="none"/>
          <w:lang w:eastAsia="zh-CN"/>
        </w:rPr>
        <w:t>非正常工况</w:t>
      </w:r>
      <w:r>
        <w:rPr>
          <w:rFonts w:hint="eastAsia" w:cs="Times New Roman"/>
          <w:color w:val="auto"/>
          <w:szCs w:val="32"/>
          <w:highlight w:val="none"/>
        </w:rPr>
        <w:t>（包含启炉、停炉、故障、事故等）</w:t>
      </w:r>
      <w:r>
        <w:rPr>
          <w:rFonts w:hint="eastAsia" w:cs="Times New Roman"/>
          <w:color w:val="auto"/>
          <w:szCs w:val="32"/>
          <w:highlight w:val="none"/>
          <w:lang w:eastAsia="zh-CN"/>
        </w:rPr>
        <w:t>颗粒物小时浓度现状排放水平见表</w:t>
      </w:r>
      <w:r>
        <w:rPr>
          <w:rFonts w:hint="eastAsia" w:cs="Times New Roman"/>
          <w:color w:val="auto"/>
          <w:szCs w:val="32"/>
          <w:highlight w:val="none"/>
          <w:lang w:val="en-US" w:eastAsia="zh-CN"/>
        </w:rPr>
        <w:t>5.6，非正常工况颗粒物小时浓度超规定限值见</w:t>
      </w:r>
      <w:r>
        <w:rPr>
          <w:rFonts w:hint="eastAsia" w:cs="Times New Roman"/>
          <w:color w:val="auto"/>
          <w:szCs w:val="32"/>
          <w:highlight w:val="none"/>
          <w:lang w:eastAsia="zh-CN"/>
        </w:rPr>
        <w:t>表</w:t>
      </w:r>
      <w:r>
        <w:rPr>
          <w:rFonts w:hint="eastAsia" w:cs="Times New Roman"/>
          <w:color w:val="auto"/>
          <w:szCs w:val="32"/>
          <w:highlight w:val="none"/>
          <w:lang w:val="en-US" w:eastAsia="zh-CN"/>
        </w:rPr>
        <w:t>5.5。</w:t>
      </w:r>
    </w:p>
    <w:p>
      <w:pPr>
        <w:tabs>
          <w:tab w:val="left" w:pos="360"/>
        </w:tabs>
        <w:ind w:firstLine="0" w:firstLineChars="0"/>
        <w:jc w:val="both"/>
        <w:rPr>
          <w:rFonts w:cs="Times New Roman"/>
          <w:color w:val="auto"/>
          <w:szCs w:val="32"/>
          <w:highlight w:val="none"/>
        </w:rPr>
      </w:pPr>
      <w:r>
        <w:rPr>
          <w:rFonts w:hint="eastAsia" w:cs="Times New Roman"/>
          <w:b/>
          <w:bCs/>
          <w:color w:val="auto"/>
          <w:szCs w:val="32"/>
          <w:highlight w:val="none"/>
          <w:lang w:eastAsia="zh-CN"/>
        </w:rPr>
        <w:t>表</w:t>
      </w:r>
      <w:r>
        <w:rPr>
          <w:rFonts w:hint="eastAsia" w:cs="Times New Roman"/>
          <w:b/>
          <w:bCs/>
          <w:color w:val="auto"/>
          <w:szCs w:val="32"/>
          <w:highlight w:val="none"/>
          <w:lang w:val="en-US" w:eastAsia="zh-CN"/>
        </w:rPr>
        <w:t xml:space="preserve">5.5  </w:t>
      </w:r>
      <w:r>
        <w:rPr>
          <w:rFonts w:hint="eastAsia" w:cs="Times New Roman"/>
          <w:color w:val="auto"/>
          <w:szCs w:val="32"/>
          <w:highlight w:val="none"/>
          <w:lang w:val="en-US" w:eastAsia="zh-CN"/>
        </w:rPr>
        <w:t xml:space="preserve"> </w:t>
      </w:r>
      <w:r>
        <w:rPr>
          <w:rFonts w:hint="eastAsia" w:cs="Times New Roman"/>
          <w:b/>
          <w:bCs/>
          <w:color w:val="auto"/>
          <w:szCs w:val="32"/>
          <w:highlight w:val="none"/>
          <w:lang w:eastAsia="zh-CN"/>
        </w:rPr>
        <w:t>非正常工况颗粒物</w:t>
      </w:r>
      <w:r>
        <w:rPr>
          <w:rFonts w:cs="Times New Roman"/>
          <w:b/>
          <w:bCs/>
          <w:color w:val="auto"/>
          <w:szCs w:val="32"/>
          <w:highlight w:val="none"/>
        </w:rPr>
        <w:t>小时浓度现状排放水平</w:t>
      </w:r>
    </w:p>
    <w:tbl>
      <w:tblPr>
        <w:tblStyle w:val="13"/>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599"/>
        <w:gridCol w:w="2343"/>
        <w:gridCol w:w="2343"/>
        <w:gridCol w:w="223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jc w:val="center"/>
        </w:trPr>
        <w:tc>
          <w:tcPr>
            <w:tcW w:w="938"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主要污染物</w:t>
            </w:r>
          </w:p>
        </w:tc>
        <w:tc>
          <w:tcPr>
            <w:tcW w:w="1374" w:type="pct"/>
            <w:shd w:val="clear" w:color="auto" w:fill="auto"/>
            <w:vAlign w:val="center"/>
          </w:tcPr>
          <w:p>
            <w:pPr>
              <w:ind w:firstLine="0" w:firstLineChars="0"/>
              <w:jc w:val="center"/>
              <w:rPr>
                <w:rFonts w:hint="eastAsia" w:ascii="Times New Roman" w:hAnsi="Times New Roman" w:eastAsia="仿宋_GB2312" w:cs="Times New Roman"/>
                <w:b/>
                <w:bCs/>
                <w:color w:val="auto"/>
                <w:kern w:val="2"/>
                <w:sz w:val="24"/>
                <w:szCs w:val="24"/>
                <w:highlight w:val="none"/>
                <w:lang w:val="en-US" w:eastAsia="zh-CN" w:bidi="ar-SA"/>
              </w:rPr>
            </w:pPr>
            <w:r>
              <w:rPr>
                <w:rFonts w:hint="eastAsia" w:cs="Times New Roman"/>
                <w:b/>
                <w:bCs/>
                <w:color w:val="auto"/>
                <w:sz w:val="24"/>
                <w:szCs w:val="24"/>
                <w:highlight w:val="none"/>
                <w:lang w:eastAsia="zh-CN"/>
              </w:rPr>
              <w:t>颗粒物小时浓度总个数</w:t>
            </w:r>
          </w:p>
        </w:tc>
        <w:tc>
          <w:tcPr>
            <w:tcW w:w="1374" w:type="pct"/>
            <w:shd w:val="clear" w:color="auto" w:fill="auto"/>
            <w:vAlign w:val="center"/>
          </w:tcPr>
          <w:p>
            <w:pPr>
              <w:ind w:firstLine="0" w:firstLineChars="0"/>
              <w:jc w:val="center"/>
              <w:rPr>
                <w:rFonts w:ascii="Times New Roman" w:hAnsi="Times New Roman" w:eastAsia="仿宋_GB2312" w:cs="Times New Roman"/>
                <w:b/>
                <w:bCs/>
                <w:color w:val="auto"/>
                <w:kern w:val="2"/>
                <w:sz w:val="24"/>
                <w:szCs w:val="24"/>
                <w:highlight w:val="none"/>
                <w:lang w:val="en-US" w:eastAsia="zh-CN" w:bidi="ar-SA"/>
              </w:rPr>
            </w:pPr>
            <w:r>
              <w:rPr>
                <w:rFonts w:cs="Times New Roman"/>
                <w:b/>
                <w:bCs/>
                <w:color w:val="auto"/>
                <w:sz w:val="24"/>
                <w:szCs w:val="24"/>
                <w:highlight w:val="none"/>
              </w:rPr>
              <w:t>浓度分类（mg/m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1312" w:type="pct"/>
            <w:shd w:val="clear" w:color="auto" w:fill="auto"/>
            <w:vAlign w:val="center"/>
          </w:tcPr>
          <w:p>
            <w:pPr>
              <w:ind w:firstLine="0" w:firstLineChars="0"/>
              <w:jc w:val="center"/>
              <w:rPr>
                <w:rFonts w:ascii="Times New Roman" w:hAnsi="Times New Roman" w:eastAsia="仿宋_GB2312" w:cs="Times New Roman"/>
                <w:b/>
                <w:bCs/>
                <w:color w:val="auto"/>
                <w:kern w:val="2"/>
                <w:sz w:val="24"/>
                <w:szCs w:val="24"/>
                <w:highlight w:val="none"/>
                <w:lang w:val="en-US" w:eastAsia="zh-CN" w:bidi="ar-SA"/>
              </w:rPr>
            </w:pPr>
            <w:r>
              <w:rPr>
                <w:rFonts w:hint="eastAsia" w:cs="Times New Roman"/>
                <w:b/>
                <w:bCs/>
                <w:color w:val="auto"/>
                <w:sz w:val="24"/>
                <w:szCs w:val="24"/>
                <w:highlight w:val="none"/>
                <w:lang w:val="en-US" w:eastAsia="zh-CN"/>
              </w:rPr>
              <w:t>数据</w:t>
            </w:r>
            <w:r>
              <w:rPr>
                <w:rFonts w:cs="Times New Roman"/>
                <w:b/>
                <w:bCs/>
                <w:color w:val="auto"/>
                <w:sz w:val="24"/>
                <w:szCs w:val="24"/>
                <w:highlight w:val="none"/>
              </w:rPr>
              <w:t>占比（%）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938" w:type="pct"/>
            <w:vMerge w:val="restart"/>
            <w:vAlign w:val="center"/>
          </w:tcPr>
          <w:p>
            <w:pPr>
              <w:ind w:firstLine="0" w:firstLineChars="0"/>
              <w:jc w:val="center"/>
              <w:rPr>
                <w:rFonts w:hint="eastAsia" w:eastAsia="仿宋_GB2312" w:cs="Times New Roman"/>
                <w:color w:val="auto"/>
                <w:sz w:val="24"/>
                <w:szCs w:val="24"/>
                <w:highlight w:val="none"/>
                <w:lang w:eastAsia="zh-CN"/>
              </w:rPr>
            </w:pPr>
            <w:r>
              <w:rPr>
                <w:rFonts w:hint="eastAsia" w:cs="Times New Roman"/>
                <w:color w:val="auto"/>
                <w:sz w:val="24"/>
                <w:szCs w:val="24"/>
                <w:highlight w:val="none"/>
                <w:lang w:eastAsia="zh-CN"/>
              </w:rPr>
              <w:t>颗粒物</w:t>
            </w:r>
          </w:p>
        </w:tc>
        <w:tc>
          <w:tcPr>
            <w:tcW w:w="1374" w:type="pct"/>
            <w:vMerge w:val="restart"/>
            <w:vAlign w:val="center"/>
          </w:tcPr>
          <w:p>
            <w:pPr>
              <w:ind w:firstLine="0" w:firstLineChars="0"/>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151511</w:t>
            </w:r>
          </w:p>
        </w:tc>
        <w:tc>
          <w:tcPr>
            <w:tcW w:w="1374"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＜100</w:t>
            </w:r>
          </w:p>
        </w:tc>
        <w:tc>
          <w:tcPr>
            <w:tcW w:w="1312" w:type="pct"/>
            <w:shd w:val="clear" w:color="auto" w:fill="auto"/>
            <w:vAlign w:val="bottom"/>
          </w:tcPr>
          <w:p>
            <w:pPr>
              <w:ind w:firstLine="0" w:firstLineChars="0"/>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88.4%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938" w:type="pct"/>
            <w:vMerge w:val="continue"/>
            <w:vAlign w:val="center"/>
          </w:tcPr>
          <w:p>
            <w:pPr>
              <w:ind w:firstLine="0" w:firstLineChars="0"/>
              <w:jc w:val="center"/>
              <w:rPr>
                <w:rFonts w:hint="eastAsia" w:cs="Times New Roman"/>
                <w:color w:val="auto"/>
                <w:sz w:val="24"/>
                <w:szCs w:val="24"/>
                <w:highlight w:val="none"/>
                <w:lang w:eastAsia="zh-CN"/>
              </w:rPr>
            </w:pPr>
          </w:p>
        </w:tc>
        <w:tc>
          <w:tcPr>
            <w:tcW w:w="1374" w:type="pct"/>
            <w:vMerge w:val="continue"/>
            <w:vAlign w:val="center"/>
          </w:tcPr>
          <w:p>
            <w:pPr>
              <w:ind w:firstLine="0" w:firstLineChars="0"/>
              <w:jc w:val="center"/>
              <w:rPr>
                <w:rFonts w:hint="eastAsia" w:cs="Times New Roman"/>
                <w:color w:val="auto"/>
                <w:sz w:val="24"/>
                <w:szCs w:val="24"/>
                <w:highlight w:val="none"/>
                <w:lang w:val="en-US" w:eastAsia="zh-CN"/>
              </w:rPr>
            </w:pPr>
          </w:p>
        </w:tc>
        <w:tc>
          <w:tcPr>
            <w:tcW w:w="1374"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100~120</w:t>
            </w:r>
          </w:p>
        </w:tc>
        <w:tc>
          <w:tcPr>
            <w:tcW w:w="1312" w:type="pct"/>
            <w:shd w:val="clear" w:color="auto" w:fill="auto"/>
            <w:vAlign w:val="bottom"/>
          </w:tcPr>
          <w:p>
            <w:pPr>
              <w:ind w:firstLine="0" w:firstLineChars="0"/>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938" w:type="pct"/>
            <w:vMerge w:val="continue"/>
            <w:vAlign w:val="center"/>
          </w:tcPr>
          <w:p>
            <w:pPr>
              <w:ind w:firstLine="0" w:firstLineChars="0"/>
              <w:jc w:val="center"/>
              <w:rPr>
                <w:rFonts w:hint="eastAsia" w:cs="Times New Roman"/>
                <w:color w:val="auto"/>
                <w:sz w:val="24"/>
                <w:szCs w:val="24"/>
                <w:highlight w:val="none"/>
                <w:lang w:eastAsia="zh-CN"/>
              </w:rPr>
            </w:pPr>
          </w:p>
        </w:tc>
        <w:tc>
          <w:tcPr>
            <w:tcW w:w="1374" w:type="pct"/>
            <w:vMerge w:val="continue"/>
            <w:vAlign w:val="center"/>
          </w:tcPr>
          <w:p>
            <w:pPr>
              <w:ind w:firstLine="0" w:firstLineChars="0"/>
              <w:jc w:val="center"/>
              <w:rPr>
                <w:rFonts w:hint="eastAsia" w:cs="Times New Roman"/>
                <w:color w:val="auto"/>
                <w:sz w:val="24"/>
                <w:szCs w:val="24"/>
                <w:highlight w:val="none"/>
                <w:lang w:val="en-US" w:eastAsia="zh-CN"/>
              </w:rPr>
            </w:pPr>
          </w:p>
        </w:tc>
        <w:tc>
          <w:tcPr>
            <w:tcW w:w="1374"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120~130</w:t>
            </w:r>
          </w:p>
        </w:tc>
        <w:tc>
          <w:tcPr>
            <w:tcW w:w="1312" w:type="pct"/>
            <w:shd w:val="clear" w:color="auto" w:fill="auto"/>
            <w:vAlign w:val="bottom"/>
          </w:tcPr>
          <w:p>
            <w:pPr>
              <w:ind w:firstLine="0" w:firstLineChars="0"/>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0.6%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938" w:type="pct"/>
            <w:vMerge w:val="continue"/>
            <w:vAlign w:val="center"/>
          </w:tcPr>
          <w:p>
            <w:pPr>
              <w:ind w:firstLine="0" w:firstLineChars="0"/>
              <w:jc w:val="center"/>
              <w:rPr>
                <w:rFonts w:hint="eastAsia" w:eastAsia="仿宋_GB2312" w:cs="Times New Roman"/>
                <w:color w:val="auto"/>
                <w:sz w:val="24"/>
                <w:szCs w:val="24"/>
                <w:highlight w:val="none"/>
                <w:lang w:eastAsia="zh-CN"/>
              </w:rPr>
            </w:pPr>
            <w:r>
              <w:rPr>
                <w:rFonts w:hint="eastAsia" w:cs="Times New Roman"/>
                <w:color w:val="auto"/>
                <w:sz w:val="24"/>
                <w:szCs w:val="24"/>
                <w:highlight w:val="none"/>
                <w:lang w:eastAsia="zh-CN"/>
              </w:rPr>
              <w:t>1</w:t>
            </w:r>
          </w:p>
        </w:tc>
        <w:tc>
          <w:tcPr>
            <w:tcW w:w="1374" w:type="pct"/>
            <w:vMerge w:val="continue"/>
            <w:vAlign w:val="center"/>
          </w:tcPr>
          <w:p>
            <w:pPr>
              <w:ind w:firstLine="0" w:firstLineChars="0"/>
              <w:jc w:val="center"/>
              <w:rPr>
                <w:rFonts w:cs="Times New Roman"/>
                <w:color w:val="auto"/>
                <w:sz w:val="24"/>
                <w:szCs w:val="24"/>
                <w:highlight w:val="none"/>
              </w:rPr>
            </w:pPr>
          </w:p>
        </w:tc>
        <w:tc>
          <w:tcPr>
            <w:tcW w:w="1374"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130~140</w:t>
            </w:r>
          </w:p>
        </w:tc>
        <w:tc>
          <w:tcPr>
            <w:tcW w:w="1312" w:type="pct"/>
            <w:shd w:val="clear" w:color="auto" w:fill="auto"/>
            <w:vAlign w:val="bottom"/>
          </w:tcPr>
          <w:p>
            <w:pPr>
              <w:ind w:firstLine="0" w:firstLineChars="0"/>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0.5%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938" w:type="pct"/>
            <w:vMerge w:val="continue"/>
            <w:vAlign w:val="center"/>
          </w:tcPr>
          <w:p>
            <w:pPr>
              <w:ind w:firstLine="0" w:firstLineChars="0"/>
              <w:jc w:val="center"/>
              <w:rPr>
                <w:rFonts w:hint="eastAsia" w:cs="Times New Roman"/>
                <w:color w:val="auto"/>
                <w:sz w:val="24"/>
                <w:szCs w:val="24"/>
                <w:highlight w:val="none"/>
                <w:lang w:eastAsia="zh-CN"/>
              </w:rPr>
            </w:pPr>
          </w:p>
        </w:tc>
        <w:tc>
          <w:tcPr>
            <w:tcW w:w="1374" w:type="pct"/>
            <w:vMerge w:val="continue"/>
            <w:vAlign w:val="center"/>
          </w:tcPr>
          <w:p>
            <w:pPr>
              <w:ind w:firstLine="0" w:firstLineChars="0"/>
              <w:jc w:val="center"/>
              <w:rPr>
                <w:rFonts w:cs="Times New Roman"/>
                <w:color w:val="auto"/>
                <w:sz w:val="24"/>
                <w:szCs w:val="24"/>
                <w:highlight w:val="none"/>
              </w:rPr>
            </w:pPr>
          </w:p>
        </w:tc>
        <w:tc>
          <w:tcPr>
            <w:tcW w:w="1374"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140~150</w:t>
            </w:r>
          </w:p>
        </w:tc>
        <w:tc>
          <w:tcPr>
            <w:tcW w:w="1312" w:type="pct"/>
            <w:shd w:val="clear" w:color="auto" w:fill="auto"/>
            <w:vAlign w:val="bottom"/>
          </w:tcPr>
          <w:p>
            <w:pPr>
              <w:ind w:firstLine="0" w:firstLineChars="0"/>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0.4%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938" w:type="pct"/>
            <w:vMerge w:val="continue"/>
            <w:vAlign w:val="center"/>
          </w:tcPr>
          <w:p>
            <w:pPr>
              <w:ind w:firstLine="0" w:firstLineChars="0"/>
              <w:jc w:val="center"/>
              <w:rPr>
                <w:rFonts w:hint="eastAsia" w:cs="Times New Roman"/>
                <w:color w:val="auto"/>
                <w:sz w:val="24"/>
                <w:szCs w:val="24"/>
                <w:highlight w:val="none"/>
                <w:lang w:eastAsia="zh-CN"/>
              </w:rPr>
            </w:pPr>
          </w:p>
        </w:tc>
        <w:tc>
          <w:tcPr>
            <w:tcW w:w="1374" w:type="pct"/>
            <w:vMerge w:val="continue"/>
            <w:vAlign w:val="center"/>
          </w:tcPr>
          <w:p>
            <w:pPr>
              <w:ind w:firstLine="0" w:firstLineChars="0"/>
              <w:jc w:val="center"/>
              <w:rPr>
                <w:rFonts w:cs="Times New Roman"/>
                <w:color w:val="auto"/>
                <w:sz w:val="24"/>
                <w:szCs w:val="24"/>
                <w:highlight w:val="none"/>
              </w:rPr>
            </w:pPr>
          </w:p>
        </w:tc>
        <w:tc>
          <w:tcPr>
            <w:tcW w:w="1374"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cs="Times New Roman"/>
                <w:color w:val="auto"/>
                <w:sz w:val="24"/>
                <w:szCs w:val="24"/>
                <w:highlight w:val="none"/>
              </w:rPr>
              <w:t>≥</w:t>
            </w:r>
            <w:r>
              <w:rPr>
                <w:rFonts w:hint="eastAsia" w:cs="Times New Roman"/>
                <w:color w:val="auto"/>
                <w:sz w:val="24"/>
                <w:szCs w:val="24"/>
                <w:highlight w:val="none"/>
                <w:lang w:val="en-US" w:eastAsia="zh-CN"/>
              </w:rPr>
              <w:t>150</w:t>
            </w:r>
          </w:p>
        </w:tc>
        <w:tc>
          <w:tcPr>
            <w:tcW w:w="1312" w:type="pct"/>
            <w:shd w:val="clear" w:color="auto" w:fill="auto"/>
            <w:vAlign w:val="bottom"/>
          </w:tcPr>
          <w:p>
            <w:pPr>
              <w:ind w:firstLine="0" w:firstLineChars="0"/>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8.8%</w:t>
            </w:r>
          </w:p>
        </w:tc>
      </w:tr>
    </w:tbl>
    <w:p>
      <w:pPr>
        <w:rPr>
          <w:rFonts w:hint="default" w:cs="Times New Roman"/>
          <w:color w:val="auto"/>
          <w:szCs w:val="32"/>
          <w:highlight w:val="none"/>
          <w:lang w:val="en-US" w:eastAsia="zh-CN"/>
        </w:rPr>
      </w:pPr>
    </w:p>
    <w:p>
      <w:pPr>
        <w:tabs>
          <w:tab w:val="left" w:pos="360"/>
        </w:tabs>
        <w:ind w:firstLine="0" w:firstLineChars="0"/>
        <w:jc w:val="both"/>
        <w:rPr>
          <w:rFonts w:hint="default" w:eastAsia="仿宋_GB2312" w:cs="Times New Roman"/>
          <w:color w:val="auto"/>
          <w:szCs w:val="32"/>
          <w:highlight w:val="none"/>
          <w:lang w:val="en-US" w:eastAsia="zh-CN"/>
        </w:rPr>
      </w:pPr>
      <w:r>
        <w:rPr>
          <w:rFonts w:hint="eastAsia" w:cs="Times New Roman"/>
          <w:b/>
          <w:bCs/>
          <w:color w:val="auto"/>
          <w:szCs w:val="32"/>
          <w:highlight w:val="none"/>
          <w:lang w:eastAsia="zh-CN"/>
        </w:rPr>
        <w:t>表</w:t>
      </w:r>
      <w:r>
        <w:rPr>
          <w:rFonts w:hint="eastAsia" w:cs="Times New Roman"/>
          <w:b/>
          <w:bCs/>
          <w:color w:val="auto"/>
          <w:szCs w:val="32"/>
          <w:highlight w:val="none"/>
          <w:lang w:val="en-US" w:eastAsia="zh-CN"/>
        </w:rPr>
        <w:t xml:space="preserve">5.6  </w:t>
      </w:r>
      <w:r>
        <w:rPr>
          <w:rFonts w:hint="eastAsia" w:cs="Times New Roman"/>
          <w:color w:val="auto"/>
          <w:szCs w:val="32"/>
          <w:highlight w:val="none"/>
          <w:lang w:val="en-US" w:eastAsia="zh-CN"/>
        </w:rPr>
        <w:t xml:space="preserve"> </w:t>
      </w:r>
      <w:r>
        <w:rPr>
          <w:rFonts w:hint="eastAsia" w:cs="Times New Roman"/>
          <w:b/>
          <w:bCs/>
          <w:color w:val="auto"/>
          <w:szCs w:val="32"/>
          <w:highlight w:val="none"/>
          <w:lang w:eastAsia="zh-CN"/>
        </w:rPr>
        <w:t>非正常工况颗粒物</w:t>
      </w:r>
      <w:r>
        <w:rPr>
          <w:rFonts w:cs="Times New Roman"/>
          <w:b/>
          <w:bCs/>
          <w:color w:val="auto"/>
          <w:szCs w:val="32"/>
          <w:highlight w:val="none"/>
        </w:rPr>
        <w:t>小时浓度</w:t>
      </w:r>
      <w:r>
        <w:rPr>
          <w:rFonts w:hint="eastAsia" w:cs="Times New Roman"/>
          <w:b/>
          <w:bCs/>
          <w:color w:val="auto"/>
          <w:szCs w:val="32"/>
          <w:highlight w:val="none"/>
          <w:lang w:val="en-US" w:eastAsia="zh-CN"/>
        </w:rPr>
        <w:t>超规定限值情况</w:t>
      </w:r>
    </w:p>
    <w:tbl>
      <w:tblPr>
        <w:tblStyle w:val="13"/>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260"/>
        <w:gridCol w:w="1836"/>
        <w:gridCol w:w="1836"/>
        <w:gridCol w:w="1836"/>
        <w:gridCol w:w="175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jc w:val="center"/>
        </w:trPr>
        <w:tc>
          <w:tcPr>
            <w:tcW w:w="739"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主要污染物</w:t>
            </w:r>
          </w:p>
        </w:tc>
        <w:tc>
          <w:tcPr>
            <w:tcW w:w="1077" w:type="pct"/>
            <w:shd w:val="clear" w:color="auto" w:fill="auto"/>
            <w:vAlign w:val="center"/>
          </w:tcPr>
          <w:p>
            <w:pPr>
              <w:ind w:firstLine="0" w:firstLineChars="0"/>
              <w:jc w:val="center"/>
              <w:rPr>
                <w:rFonts w:hint="eastAsia" w:eastAsia="仿宋_GB2312" w:cs="Times New Roman"/>
                <w:b/>
                <w:bCs/>
                <w:color w:val="auto"/>
                <w:sz w:val="24"/>
                <w:szCs w:val="24"/>
                <w:highlight w:val="none"/>
                <w:lang w:eastAsia="zh-CN"/>
              </w:rPr>
            </w:pPr>
            <w:r>
              <w:rPr>
                <w:rFonts w:hint="eastAsia" w:cs="Times New Roman"/>
                <w:b/>
                <w:bCs/>
                <w:color w:val="auto"/>
                <w:sz w:val="24"/>
                <w:szCs w:val="24"/>
                <w:highlight w:val="none"/>
                <w:lang w:eastAsia="zh-CN"/>
              </w:rPr>
              <w:t>颗粒物小时浓度总个数</w:t>
            </w:r>
          </w:p>
        </w:tc>
        <w:tc>
          <w:tcPr>
            <w:tcW w:w="1077" w:type="pct"/>
            <w:shd w:val="clear" w:color="auto" w:fill="auto"/>
            <w:vAlign w:val="center"/>
          </w:tcPr>
          <w:p>
            <w:pPr>
              <w:ind w:firstLine="0" w:firstLineChars="0"/>
              <w:jc w:val="center"/>
              <w:rPr>
                <w:rFonts w:ascii="Times New Roman" w:hAnsi="Times New Roman" w:eastAsia="仿宋_GB2312" w:cs="Times New Roman"/>
                <w:b/>
                <w:bCs/>
                <w:color w:val="auto"/>
                <w:kern w:val="2"/>
                <w:sz w:val="24"/>
                <w:szCs w:val="24"/>
                <w:highlight w:val="none"/>
                <w:lang w:val="en-US" w:eastAsia="zh-CN" w:bidi="ar-SA"/>
              </w:rPr>
            </w:pPr>
            <w:r>
              <w:rPr>
                <w:rFonts w:cs="Times New Roman"/>
                <w:b/>
                <w:bCs/>
                <w:color w:val="auto"/>
                <w:sz w:val="24"/>
                <w:szCs w:val="24"/>
                <w:highlight w:val="none"/>
              </w:rPr>
              <w:t>浓度分类（mg/m</w:t>
            </w:r>
            <w:r>
              <w:rPr>
                <w:rFonts w:cs="Times New Roman"/>
                <w:b/>
                <w:bCs/>
                <w:color w:val="auto"/>
                <w:sz w:val="24"/>
                <w:szCs w:val="24"/>
                <w:highlight w:val="none"/>
                <w:vertAlign w:val="superscript"/>
              </w:rPr>
              <w:t>3</w:t>
            </w:r>
            <w:r>
              <w:rPr>
                <w:rFonts w:cs="Times New Roman"/>
                <w:b/>
                <w:bCs/>
                <w:color w:val="auto"/>
                <w:sz w:val="24"/>
                <w:szCs w:val="24"/>
                <w:highlight w:val="none"/>
              </w:rPr>
              <w:t>）</w:t>
            </w:r>
          </w:p>
        </w:tc>
        <w:tc>
          <w:tcPr>
            <w:tcW w:w="1077" w:type="pct"/>
            <w:shd w:val="clear" w:color="auto" w:fill="auto"/>
            <w:vAlign w:val="center"/>
          </w:tcPr>
          <w:p>
            <w:pPr>
              <w:ind w:firstLine="0" w:firstLineChars="0"/>
              <w:jc w:val="center"/>
              <w:rPr>
                <w:rFonts w:hint="eastAsia" w:eastAsia="仿宋_GB2312" w:cs="Times New Roman"/>
                <w:b/>
                <w:bCs/>
                <w:color w:val="auto"/>
                <w:sz w:val="24"/>
                <w:szCs w:val="24"/>
                <w:highlight w:val="none"/>
                <w:lang w:eastAsia="zh-CN"/>
              </w:rPr>
            </w:pPr>
            <w:r>
              <w:rPr>
                <w:rFonts w:hint="eastAsia" w:cs="Times New Roman"/>
                <w:b/>
                <w:bCs/>
                <w:color w:val="auto"/>
                <w:sz w:val="24"/>
                <w:szCs w:val="24"/>
                <w:highlight w:val="none"/>
                <w:lang w:eastAsia="zh-CN"/>
              </w:rPr>
              <w:t>颗粒物小时浓度</w:t>
            </w:r>
            <w:r>
              <w:rPr>
                <w:rFonts w:hint="eastAsia" w:cs="Times New Roman"/>
                <w:b/>
                <w:bCs/>
                <w:color w:val="auto"/>
                <w:sz w:val="24"/>
                <w:szCs w:val="24"/>
                <w:highlight w:val="none"/>
                <w:lang w:val="en-US" w:eastAsia="zh-CN"/>
              </w:rPr>
              <w:t>超规定限值数据的</w:t>
            </w:r>
            <w:r>
              <w:rPr>
                <w:rFonts w:hint="eastAsia" w:cs="Times New Roman"/>
                <w:b/>
                <w:bCs/>
                <w:color w:val="auto"/>
                <w:sz w:val="24"/>
                <w:szCs w:val="24"/>
                <w:highlight w:val="none"/>
                <w:lang w:eastAsia="zh-CN"/>
              </w:rPr>
              <w:t>个数</w:t>
            </w:r>
          </w:p>
        </w:tc>
        <w:tc>
          <w:tcPr>
            <w:tcW w:w="1029" w:type="pct"/>
            <w:shd w:val="clear" w:color="auto" w:fill="auto"/>
            <w:vAlign w:val="center"/>
          </w:tcPr>
          <w:p>
            <w:pPr>
              <w:ind w:firstLine="0" w:firstLineChars="0"/>
              <w:jc w:val="center"/>
              <w:rPr>
                <w:rFonts w:cs="Times New Roman"/>
                <w:b/>
                <w:bCs/>
                <w:color w:val="auto"/>
                <w:sz w:val="24"/>
                <w:szCs w:val="24"/>
                <w:highlight w:val="none"/>
              </w:rPr>
            </w:pPr>
            <w:r>
              <w:rPr>
                <w:rFonts w:cs="Times New Roman"/>
                <w:b/>
                <w:bCs/>
                <w:color w:val="auto"/>
                <w:sz w:val="24"/>
                <w:szCs w:val="24"/>
                <w:highlight w:val="none"/>
              </w:rPr>
              <w:t>自动监控数据</w:t>
            </w:r>
            <w:r>
              <w:rPr>
                <w:rFonts w:hint="eastAsia" w:cs="Times New Roman"/>
                <w:b/>
                <w:bCs/>
                <w:color w:val="auto"/>
                <w:sz w:val="24"/>
                <w:szCs w:val="24"/>
                <w:highlight w:val="none"/>
                <w:lang w:val="en-US" w:eastAsia="zh-CN"/>
              </w:rPr>
              <w:t>超规定限值数据</w:t>
            </w:r>
            <w:r>
              <w:rPr>
                <w:rFonts w:cs="Times New Roman"/>
                <w:b/>
                <w:bCs/>
                <w:color w:val="auto"/>
                <w:sz w:val="24"/>
                <w:szCs w:val="24"/>
                <w:highlight w:val="none"/>
              </w:rPr>
              <w:t>占比（%）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739" w:type="pct"/>
            <w:vMerge w:val="restart"/>
            <w:vAlign w:val="center"/>
          </w:tcPr>
          <w:p>
            <w:pPr>
              <w:ind w:firstLine="0" w:firstLineChars="0"/>
              <w:jc w:val="center"/>
              <w:rPr>
                <w:rFonts w:hint="eastAsia" w:eastAsia="仿宋_GB2312" w:cs="Times New Roman"/>
                <w:color w:val="auto"/>
                <w:sz w:val="24"/>
                <w:szCs w:val="24"/>
                <w:highlight w:val="none"/>
                <w:lang w:eastAsia="zh-CN"/>
              </w:rPr>
            </w:pPr>
            <w:r>
              <w:rPr>
                <w:rFonts w:hint="eastAsia" w:cs="Times New Roman"/>
                <w:color w:val="auto"/>
                <w:sz w:val="24"/>
                <w:szCs w:val="24"/>
                <w:highlight w:val="none"/>
                <w:lang w:eastAsia="zh-CN"/>
              </w:rPr>
              <w:t>颗粒物</w:t>
            </w:r>
          </w:p>
        </w:tc>
        <w:tc>
          <w:tcPr>
            <w:tcW w:w="1077" w:type="pct"/>
            <w:vMerge w:val="restart"/>
            <w:vAlign w:val="center"/>
          </w:tcPr>
          <w:p>
            <w:pPr>
              <w:ind w:firstLine="0" w:firstLineChars="0"/>
              <w:jc w:val="center"/>
              <w:rPr>
                <w:rFonts w:hint="default" w:eastAsia="仿宋_GB2312" w:cs="Times New Roman"/>
                <w:color w:val="auto"/>
                <w:sz w:val="24"/>
                <w:szCs w:val="24"/>
                <w:highlight w:val="none"/>
                <w:lang w:val="en-US" w:eastAsia="zh-CN"/>
              </w:rPr>
            </w:pPr>
            <w:r>
              <w:rPr>
                <w:rFonts w:hint="eastAsia" w:cs="Times New Roman"/>
                <w:color w:val="auto"/>
                <w:sz w:val="24"/>
                <w:szCs w:val="24"/>
                <w:highlight w:val="none"/>
                <w:lang w:val="en-US" w:eastAsia="zh-CN"/>
              </w:rPr>
              <w:t>151511</w:t>
            </w:r>
          </w:p>
        </w:tc>
        <w:tc>
          <w:tcPr>
            <w:tcW w:w="1077"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＜100</w:t>
            </w:r>
          </w:p>
        </w:tc>
        <w:tc>
          <w:tcPr>
            <w:tcW w:w="1077"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17622</w:t>
            </w:r>
          </w:p>
        </w:tc>
        <w:tc>
          <w:tcPr>
            <w:tcW w:w="1029"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88.4%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739" w:type="pct"/>
            <w:vMerge w:val="continue"/>
            <w:vAlign w:val="center"/>
          </w:tcPr>
          <w:p>
            <w:pPr>
              <w:ind w:firstLine="0" w:firstLineChars="0"/>
              <w:jc w:val="center"/>
              <w:rPr>
                <w:rFonts w:hint="eastAsia" w:cs="Times New Roman"/>
                <w:color w:val="auto"/>
                <w:sz w:val="24"/>
                <w:szCs w:val="24"/>
                <w:highlight w:val="none"/>
                <w:lang w:eastAsia="zh-CN"/>
              </w:rPr>
            </w:pPr>
          </w:p>
        </w:tc>
        <w:tc>
          <w:tcPr>
            <w:tcW w:w="1077" w:type="pct"/>
            <w:vMerge w:val="continue"/>
            <w:vAlign w:val="center"/>
          </w:tcPr>
          <w:p>
            <w:pPr>
              <w:ind w:firstLine="0" w:firstLineChars="0"/>
              <w:jc w:val="center"/>
              <w:rPr>
                <w:rFonts w:hint="eastAsia" w:cs="Times New Roman"/>
                <w:color w:val="auto"/>
                <w:sz w:val="24"/>
                <w:szCs w:val="24"/>
                <w:highlight w:val="none"/>
                <w:lang w:val="en-US" w:eastAsia="zh-CN"/>
              </w:rPr>
            </w:pPr>
          </w:p>
        </w:tc>
        <w:tc>
          <w:tcPr>
            <w:tcW w:w="1077"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＜120</w:t>
            </w:r>
          </w:p>
        </w:tc>
        <w:tc>
          <w:tcPr>
            <w:tcW w:w="1077"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15623</w:t>
            </w:r>
          </w:p>
        </w:tc>
        <w:tc>
          <w:tcPr>
            <w:tcW w:w="1029"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89.7%</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739" w:type="pct"/>
            <w:vMerge w:val="continue"/>
            <w:vAlign w:val="center"/>
          </w:tcPr>
          <w:p>
            <w:pPr>
              <w:ind w:firstLine="0" w:firstLineChars="0"/>
              <w:jc w:val="center"/>
              <w:rPr>
                <w:rFonts w:hint="eastAsia" w:cs="Times New Roman"/>
                <w:color w:val="auto"/>
                <w:sz w:val="24"/>
                <w:szCs w:val="24"/>
                <w:highlight w:val="none"/>
                <w:lang w:eastAsia="zh-CN"/>
              </w:rPr>
            </w:pPr>
          </w:p>
        </w:tc>
        <w:tc>
          <w:tcPr>
            <w:tcW w:w="1077" w:type="pct"/>
            <w:vMerge w:val="continue"/>
            <w:vAlign w:val="center"/>
          </w:tcPr>
          <w:p>
            <w:pPr>
              <w:ind w:firstLine="0" w:firstLineChars="0"/>
              <w:jc w:val="center"/>
              <w:rPr>
                <w:rFonts w:hint="eastAsia" w:cs="Times New Roman"/>
                <w:color w:val="auto"/>
                <w:sz w:val="24"/>
                <w:szCs w:val="24"/>
                <w:highlight w:val="none"/>
                <w:lang w:val="en-US" w:eastAsia="zh-CN"/>
              </w:rPr>
            </w:pPr>
          </w:p>
        </w:tc>
        <w:tc>
          <w:tcPr>
            <w:tcW w:w="1077" w:type="pct"/>
            <w:shd w:val="clear" w:color="auto" w:fill="auto"/>
            <w:vAlign w:val="center"/>
          </w:tcPr>
          <w:p>
            <w:pPr>
              <w:ind w:firstLine="0" w:firstLineChars="0"/>
              <w:jc w:val="center"/>
              <w:rPr>
                <w:rFonts w:hint="default" w:cs="Times New Roman"/>
                <w:color w:val="auto"/>
                <w:sz w:val="24"/>
                <w:szCs w:val="24"/>
                <w:highlight w:val="none"/>
                <w:lang w:val="en-US"/>
              </w:rPr>
            </w:pPr>
            <w:r>
              <w:rPr>
                <w:rFonts w:hint="eastAsia" w:cs="Times New Roman"/>
                <w:color w:val="auto"/>
                <w:sz w:val="24"/>
                <w:szCs w:val="24"/>
                <w:highlight w:val="none"/>
                <w:lang w:val="en-US" w:eastAsia="zh-CN"/>
              </w:rPr>
              <w:t>＜130</w:t>
            </w:r>
          </w:p>
        </w:tc>
        <w:tc>
          <w:tcPr>
            <w:tcW w:w="1077" w:type="pct"/>
            <w:shd w:val="clear" w:color="auto" w:fill="auto"/>
            <w:vAlign w:val="center"/>
          </w:tcPr>
          <w:p>
            <w:pPr>
              <w:ind w:firstLine="0" w:firstLineChars="0"/>
              <w:jc w:val="center"/>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14712</w:t>
            </w:r>
          </w:p>
        </w:tc>
        <w:tc>
          <w:tcPr>
            <w:tcW w:w="1029" w:type="pct"/>
            <w:shd w:val="clear" w:color="auto" w:fill="auto"/>
            <w:vAlign w:val="center"/>
          </w:tcPr>
          <w:p>
            <w:pPr>
              <w:ind w:firstLine="0" w:firstLineChars="0"/>
              <w:jc w:val="center"/>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90.3%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739" w:type="pct"/>
            <w:vMerge w:val="continue"/>
            <w:vAlign w:val="center"/>
          </w:tcPr>
          <w:p>
            <w:pPr>
              <w:ind w:firstLine="0" w:firstLineChars="0"/>
              <w:jc w:val="center"/>
              <w:rPr>
                <w:rFonts w:hint="eastAsia" w:eastAsia="仿宋_GB2312" w:cs="Times New Roman"/>
                <w:color w:val="auto"/>
                <w:sz w:val="24"/>
                <w:szCs w:val="24"/>
                <w:highlight w:val="none"/>
                <w:lang w:eastAsia="zh-CN"/>
              </w:rPr>
            </w:pPr>
            <w:r>
              <w:rPr>
                <w:rFonts w:hint="eastAsia" w:cs="Times New Roman"/>
                <w:color w:val="auto"/>
                <w:sz w:val="24"/>
                <w:szCs w:val="24"/>
                <w:highlight w:val="none"/>
                <w:lang w:eastAsia="zh-CN"/>
              </w:rPr>
              <w:t>1</w:t>
            </w:r>
          </w:p>
        </w:tc>
        <w:tc>
          <w:tcPr>
            <w:tcW w:w="1077" w:type="pct"/>
            <w:vMerge w:val="continue"/>
            <w:vAlign w:val="center"/>
          </w:tcPr>
          <w:p>
            <w:pPr>
              <w:ind w:firstLine="0" w:firstLineChars="0"/>
              <w:jc w:val="center"/>
              <w:rPr>
                <w:rFonts w:cs="Times New Roman"/>
                <w:color w:val="auto"/>
                <w:sz w:val="24"/>
                <w:szCs w:val="24"/>
                <w:highlight w:val="none"/>
              </w:rPr>
            </w:pPr>
          </w:p>
        </w:tc>
        <w:tc>
          <w:tcPr>
            <w:tcW w:w="1077"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＜140</w:t>
            </w:r>
          </w:p>
        </w:tc>
        <w:tc>
          <w:tcPr>
            <w:tcW w:w="1077"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14012</w:t>
            </w:r>
          </w:p>
        </w:tc>
        <w:tc>
          <w:tcPr>
            <w:tcW w:w="1029"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90.7%</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739" w:type="pct"/>
            <w:vMerge w:val="continue"/>
            <w:vAlign w:val="center"/>
          </w:tcPr>
          <w:p>
            <w:pPr>
              <w:ind w:firstLine="0" w:firstLineChars="0"/>
              <w:jc w:val="center"/>
              <w:rPr>
                <w:rFonts w:hint="eastAsia" w:cs="Times New Roman"/>
                <w:color w:val="auto"/>
                <w:sz w:val="24"/>
                <w:szCs w:val="24"/>
                <w:highlight w:val="none"/>
                <w:lang w:eastAsia="zh-CN"/>
              </w:rPr>
            </w:pPr>
          </w:p>
        </w:tc>
        <w:tc>
          <w:tcPr>
            <w:tcW w:w="1077" w:type="pct"/>
            <w:vMerge w:val="continue"/>
            <w:vAlign w:val="center"/>
          </w:tcPr>
          <w:p>
            <w:pPr>
              <w:ind w:firstLine="0" w:firstLineChars="0"/>
              <w:jc w:val="center"/>
              <w:rPr>
                <w:rFonts w:cs="Times New Roman"/>
                <w:color w:val="auto"/>
                <w:sz w:val="24"/>
                <w:szCs w:val="24"/>
                <w:highlight w:val="none"/>
              </w:rPr>
            </w:pPr>
          </w:p>
        </w:tc>
        <w:tc>
          <w:tcPr>
            <w:tcW w:w="1077"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＜150</w:t>
            </w:r>
          </w:p>
        </w:tc>
        <w:tc>
          <w:tcPr>
            <w:tcW w:w="1077"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13391</w:t>
            </w:r>
          </w:p>
        </w:tc>
        <w:tc>
          <w:tcPr>
            <w:tcW w:w="1029" w:type="pct"/>
            <w:shd w:val="clear" w:color="auto" w:fill="auto"/>
            <w:vAlign w:val="center"/>
          </w:tcPr>
          <w:p>
            <w:pPr>
              <w:ind w:firstLine="0" w:firstLineChars="0"/>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91.2%</w:t>
            </w:r>
          </w:p>
        </w:tc>
      </w:tr>
    </w:tbl>
    <w:p>
      <w:pPr>
        <w:spacing w:line="240" w:lineRule="exact"/>
        <w:ind w:firstLine="640"/>
        <w:rPr>
          <w:rFonts w:cs="Times New Roman"/>
          <w:color w:val="auto"/>
          <w:szCs w:val="32"/>
          <w:highlight w:val="none"/>
        </w:rPr>
      </w:pPr>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156" w:name="_Toc21664"/>
      <w:r>
        <w:rPr>
          <w:rFonts w:ascii="Times New Roman" w:hAnsi="Times New Roman" w:eastAsia="仿宋_GB2312" w:cs="Times New Roman"/>
          <w:b/>
          <w:bCs/>
          <w:color w:val="auto"/>
          <w:szCs w:val="22"/>
          <w:highlight w:val="none"/>
        </w:rPr>
        <w:t>5.6</w:t>
      </w:r>
      <w:r>
        <w:rPr>
          <w:rFonts w:hint="eastAsia" w:eastAsia="仿宋_GB2312" w:cs="Times New Roman"/>
          <w:b/>
          <w:bCs/>
          <w:color w:val="auto"/>
          <w:szCs w:val="22"/>
          <w:highlight w:val="none"/>
          <w:lang w:val="en-US" w:eastAsia="zh-CN"/>
        </w:rPr>
        <w:t xml:space="preserve"> </w:t>
      </w:r>
      <w:r>
        <w:rPr>
          <w:rFonts w:ascii="Times New Roman" w:hAnsi="Times New Roman" w:eastAsia="仿宋_GB2312" w:cs="Times New Roman"/>
          <w:b/>
          <w:bCs/>
          <w:color w:val="auto"/>
          <w:szCs w:val="22"/>
          <w:highlight w:val="none"/>
        </w:rPr>
        <w:t>污染物监测要求</w:t>
      </w:r>
      <w:bookmarkEnd w:id="156"/>
    </w:p>
    <w:p>
      <w:pPr>
        <w:spacing w:line="360" w:lineRule="auto"/>
        <w:ind w:firstLine="640"/>
        <w:rPr>
          <w:rFonts w:cs="Times New Roman"/>
          <w:color w:val="auto"/>
          <w:szCs w:val="32"/>
          <w:highlight w:val="none"/>
        </w:rPr>
      </w:pPr>
      <w:r>
        <w:rPr>
          <w:rFonts w:cs="Times New Roman"/>
          <w:color w:val="auto"/>
          <w:szCs w:val="32"/>
          <w:highlight w:val="none"/>
        </w:rPr>
        <w:t>本部分主要规定了</w:t>
      </w:r>
      <w:r>
        <w:rPr>
          <w:rFonts w:hint="eastAsia" w:cs="Times New Roman"/>
          <w:color w:val="auto"/>
          <w:szCs w:val="32"/>
          <w:highlight w:val="none"/>
          <w:lang w:val="en-US" w:eastAsia="zh-CN"/>
        </w:rPr>
        <w:t>自行监测、</w:t>
      </w:r>
      <w:r>
        <w:rPr>
          <w:rFonts w:cs="Times New Roman"/>
          <w:color w:val="auto"/>
          <w:szCs w:val="32"/>
          <w:highlight w:val="none"/>
        </w:rPr>
        <w:t>监测的采样、监测频次、</w:t>
      </w:r>
      <w:r>
        <w:rPr>
          <w:rFonts w:hint="eastAsia" w:cs="Times New Roman"/>
          <w:color w:val="auto"/>
          <w:szCs w:val="32"/>
          <w:highlight w:val="none"/>
          <w:lang w:val="en-US" w:eastAsia="zh-CN"/>
        </w:rPr>
        <w:t>自动</w:t>
      </w:r>
      <w:r>
        <w:rPr>
          <w:rFonts w:cs="Times New Roman"/>
          <w:color w:val="auto"/>
          <w:szCs w:val="32"/>
          <w:highlight w:val="none"/>
        </w:rPr>
        <w:t>在线</w:t>
      </w:r>
      <w:r>
        <w:rPr>
          <w:rFonts w:hint="eastAsia" w:cs="Times New Roman"/>
          <w:color w:val="auto"/>
          <w:szCs w:val="32"/>
          <w:highlight w:val="none"/>
          <w:lang w:val="en-US" w:eastAsia="zh-CN"/>
        </w:rPr>
        <w:t>监测</w:t>
      </w:r>
      <w:r>
        <w:rPr>
          <w:rFonts w:cs="Times New Roman"/>
          <w:color w:val="auto"/>
          <w:szCs w:val="32"/>
          <w:highlight w:val="none"/>
        </w:rPr>
        <w:t>以及大气污染物的分析方法等要求。</w:t>
      </w:r>
      <w:r>
        <w:rPr>
          <w:rFonts w:cs="Times New Roman"/>
          <w:color w:val="auto"/>
          <w:kern w:val="0"/>
          <w:szCs w:val="32"/>
          <w:highlight w:val="none"/>
        </w:rPr>
        <w:t>结合当前法律、</w:t>
      </w:r>
      <w:r>
        <w:rPr>
          <w:rFonts w:hint="eastAsia" w:cs="Times New Roman"/>
          <w:color w:val="auto"/>
          <w:kern w:val="0"/>
          <w:szCs w:val="32"/>
          <w:highlight w:val="none"/>
          <w:lang w:val="en-US" w:eastAsia="zh-CN"/>
        </w:rPr>
        <w:t>排污许可证、</w:t>
      </w:r>
      <w:r>
        <w:rPr>
          <w:rFonts w:cs="Times New Roman"/>
          <w:color w:val="auto"/>
          <w:kern w:val="0"/>
          <w:szCs w:val="32"/>
          <w:highlight w:val="none"/>
        </w:rPr>
        <w:t>《环境监测管理办法》和</w:t>
      </w:r>
      <w:r>
        <w:rPr>
          <w:rFonts w:hint="eastAsia" w:cs="Times New Roman"/>
          <w:color w:val="auto"/>
          <w:kern w:val="0"/>
          <w:szCs w:val="32"/>
          <w:highlight w:val="none"/>
          <w:lang w:val="en-US" w:eastAsia="zh-CN"/>
        </w:rPr>
        <w:t>相关</w:t>
      </w:r>
      <w:r>
        <w:rPr>
          <w:rFonts w:cs="Times New Roman"/>
          <w:color w:val="auto"/>
          <w:kern w:val="0"/>
          <w:szCs w:val="32"/>
          <w:highlight w:val="none"/>
        </w:rPr>
        <w:t>排污许可证监测技术指南等要求，对生活垃圾焚烧企业自行监测、采样测试平台和排污口标志、采样位置、监测频次、在线监控规定以及大气污染物的分析方法等提出了明确的要求。</w:t>
      </w:r>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157" w:name="_Toc18411"/>
      <w:r>
        <w:rPr>
          <w:rFonts w:ascii="Times New Roman" w:hAnsi="Times New Roman" w:eastAsia="仿宋_GB2312" w:cs="Times New Roman"/>
          <w:b/>
          <w:bCs/>
          <w:color w:val="auto"/>
          <w:szCs w:val="22"/>
          <w:highlight w:val="none"/>
        </w:rPr>
        <w:t>5.</w:t>
      </w:r>
      <w:r>
        <w:rPr>
          <w:rFonts w:hint="eastAsia" w:eastAsia="仿宋_GB2312" w:cs="Times New Roman"/>
          <w:b/>
          <w:bCs/>
          <w:color w:val="auto"/>
          <w:szCs w:val="22"/>
          <w:highlight w:val="none"/>
          <w:lang w:val="en-US" w:eastAsia="zh-CN"/>
        </w:rPr>
        <w:t xml:space="preserve">7 </w:t>
      </w:r>
      <w:r>
        <w:rPr>
          <w:rFonts w:ascii="Times New Roman" w:hAnsi="Times New Roman" w:eastAsia="仿宋_GB2312" w:cs="Times New Roman"/>
          <w:b/>
          <w:bCs/>
          <w:color w:val="auto"/>
          <w:szCs w:val="22"/>
          <w:highlight w:val="none"/>
        </w:rPr>
        <w:t>标准实施与监督</w:t>
      </w:r>
      <w:bookmarkEnd w:id="157"/>
    </w:p>
    <w:p>
      <w:pPr>
        <w:spacing w:line="360" w:lineRule="auto"/>
        <w:ind w:firstLine="640"/>
        <w:rPr>
          <w:rFonts w:hint="eastAsia" w:cs="Times New Roman"/>
          <w:color w:val="auto"/>
          <w:szCs w:val="32"/>
          <w:highlight w:val="none"/>
          <w:lang w:val="en-US" w:eastAsia="zh-CN"/>
        </w:rPr>
      </w:pPr>
      <w:r>
        <w:rPr>
          <w:rFonts w:hint="eastAsia" w:cs="Times New Roman"/>
          <w:color w:val="auto"/>
          <w:szCs w:val="32"/>
          <w:highlight w:val="none"/>
        </w:rPr>
        <w:t>标准的实施与监督部分明确了标准的监督实施主体和实施责任主体，即：</w:t>
      </w:r>
      <w:r>
        <w:rPr>
          <w:rFonts w:hint="eastAsia" w:cs="Times New Roman"/>
          <w:color w:val="auto"/>
          <w:szCs w:val="32"/>
          <w:highlight w:val="none"/>
          <w:lang w:val="en-US" w:eastAsia="zh-CN"/>
        </w:rPr>
        <w:t>标准</w:t>
      </w:r>
      <w:r>
        <w:rPr>
          <w:rFonts w:hint="eastAsia" w:cs="Times New Roman"/>
          <w:color w:val="auto"/>
          <w:szCs w:val="32"/>
          <w:highlight w:val="none"/>
        </w:rPr>
        <w:t>由生态环境主管部门和行业主管部门负责监督实施。企业是实施排放标准的责任主体，应采取必要措施，达到本</w:t>
      </w:r>
      <w:r>
        <w:rPr>
          <w:rFonts w:hint="eastAsia" w:cs="Times New Roman"/>
          <w:color w:val="auto"/>
          <w:szCs w:val="32"/>
          <w:highlight w:val="none"/>
          <w:lang w:val="en-US" w:eastAsia="zh-CN"/>
        </w:rPr>
        <w:t>标准</w:t>
      </w:r>
      <w:r>
        <w:rPr>
          <w:rFonts w:hint="eastAsia" w:cs="Times New Roman"/>
          <w:color w:val="auto"/>
          <w:szCs w:val="32"/>
          <w:highlight w:val="none"/>
        </w:rPr>
        <w:t>规定的污染物排放控制要求。</w:t>
      </w:r>
    </w:p>
    <w:p>
      <w:pPr>
        <w:spacing w:line="360" w:lineRule="auto"/>
        <w:ind w:firstLine="640"/>
        <w:rPr>
          <w:rFonts w:hint="eastAsia" w:cs="Times New Roman"/>
          <w:color w:val="auto"/>
          <w:szCs w:val="32"/>
          <w:highlight w:val="none"/>
        </w:rPr>
      </w:pPr>
      <w:r>
        <w:rPr>
          <w:rFonts w:hint="eastAsia" w:cs="Times New Roman"/>
          <w:color w:val="auto"/>
          <w:szCs w:val="32"/>
          <w:highlight w:val="none"/>
        </w:rPr>
        <w:t>规定了达标判定的要求，即</w:t>
      </w:r>
      <w:r>
        <w:rPr>
          <w:rFonts w:hint="eastAsia" w:cs="Times New Roman"/>
          <w:color w:val="auto"/>
          <w:szCs w:val="32"/>
          <w:highlight w:val="none"/>
          <w:lang w:val="en-US" w:eastAsia="zh-CN"/>
        </w:rPr>
        <w:t>对于有组织和无组织废气排放，采用手工监测</w:t>
      </w:r>
      <w:r>
        <w:rPr>
          <w:rFonts w:hint="eastAsia" w:cs="Times New Roman"/>
          <w:color w:val="auto"/>
          <w:szCs w:val="32"/>
          <w:highlight w:val="none"/>
        </w:rPr>
        <w:t>时，按照监测规范要求测得的任意1小时均值浓度、24小时均值浓度、测定均值浓度超过本</w:t>
      </w:r>
      <w:r>
        <w:rPr>
          <w:rFonts w:hint="eastAsia" w:cs="Times New Roman"/>
          <w:color w:val="auto"/>
          <w:szCs w:val="32"/>
          <w:highlight w:val="none"/>
          <w:lang w:val="en-US" w:eastAsia="zh-CN"/>
        </w:rPr>
        <w:t>标准</w:t>
      </w:r>
      <w:r>
        <w:rPr>
          <w:rFonts w:hint="eastAsia" w:cs="Times New Roman"/>
          <w:color w:val="auto"/>
          <w:szCs w:val="32"/>
          <w:highlight w:val="none"/>
        </w:rPr>
        <w:t>规定的限值，判定为超标。</w:t>
      </w:r>
      <w:r>
        <w:rPr>
          <w:rFonts w:hint="eastAsia" w:cs="Times New Roman"/>
          <w:color w:val="auto"/>
          <w:szCs w:val="32"/>
          <w:highlight w:val="none"/>
          <w:lang w:val="en-US" w:eastAsia="zh-CN"/>
        </w:rPr>
        <w:t>对于焚烧炉烟气</w:t>
      </w:r>
      <w:r>
        <w:rPr>
          <w:rFonts w:hint="eastAsia" w:cs="Times New Roman"/>
          <w:color w:val="auto"/>
          <w:szCs w:val="32"/>
          <w:highlight w:val="none"/>
        </w:rPr>
        <w:t>采用</w:t>
      </w:r>
      <w:r>
        <w:rPr>
          <w:rFonts w:hint="eastAsia" w:cs="Times New Roman"/>
          <w:color w:val="auto"/>
          <w:szCs w:val="32"/>
          <w:highlight w:val="none"/>
          <w:lang w:val="en-US" w:eastAsia="zh-CN"/>
        </w:rPr>
        <w:t>在线</w:t>
      </w:r>
      <w:r>
        <w:rPr>
          <w:rFonts w:hint="eastAsia" w:cs="Times New Roman"/>
          <w:color w:val="auto"/>
          <w:szCs w:val="32"/>
          <w:highlight w:val="none"/>
        </w:rPr>
        <w:t>监测时，</w:t>
      </w:r>
      <w:r>
        <w:rPr>
          <w:rFonts w:hint="eastAsia" w:cs="Times New Roman"/>
          <w:color w:val="auto"/>
          <w:szCs w:val="32"/>
          <w:highlight w:val="none"/>
          <w:lang w:val="en-US" w:eastAsia="zh-CN"/>
        </w:rPr>
        <w:t>一个自然日内，垃圾焚烧厂任一焚烧炉排放烟气中颗粒物、</w:t>
      </w:r>
      <w:r>
        <w:rPr>
          <w:rFonts w:hint="eastAsia" w:cs="Times New Roman"/>
          <w:color w:val="auto"/>
          <w:szCs w:val="32"/>
          <w:highlight w:val="none"/>
        </w:rPr>
        <w:t>二氧化硫、氮氧化物、氯化氢、一</w:t>
      </w:r>
      <w:r>
        <w:rPr>
          <w:rFonts w:hint="eastAsia" w:cs="Times New Roman"/>
          <w:color w:val="auto"/>
          <w:szCs w:val="32"/>
          <w:highlight w:val="none"/>
          <w:lang w:val="en-US" w:eastAsia="zh-CN"/>
        </w:rPr>
        <w:t>氧</w:t>
      </w:r>
      <w:r>
        <w:rPr>
          <w:rFonts w:hint="eastAsia" w:cs="Times New Roman"/>
          <w:color w:val="auto"/>
          <w:szCs w:val="32"/>
          <w:highlight w:val="none"/>
        </w:rPr>
        <w:t>化碳</w:t>
      </w:r>
      <w:r>
        <w:rPr>
          <w:rFonts w:hint="eastAsia" w:cs="Times New Roman"/>
          <w:color w:val="auto"/>
          <w:szCs w:val="32"/>
          <w:highlight w:val="none"/>
          <w:lang w:eastAsia="zh-CN"/>
        </w:rPr>
        <w:t>、</w:t>
      </w:r>
      <w:r>
        <w:rPr>
          <w:rFonts w:hint="eastAsia" w:cs="Times New Roman"/>
          <w:color w:val="auto"/>
          <w:szCs w:val="32"/>
          <w:highlight w:val="none"/>
          <w:lang w:val="en-US" w:eastAsia="zh-CN"/>
        </w:rPr>
        <w:t>氨的自动监测日均值数据，有一项或者一项以上超过本标准规定的24小时均值限值，可判定为超标。</w:t>
      </w:r>
    </w:p>
    <w:p>
      <w:pPr>
        <w:spacing w:line="360" w:lineRule="auto"/>
        <w:ind w:firstLine="640"/>
        <w:rPr>
          <w:rFonts w:hint="eastAsia" w:cs="Times New Roman"/>
          <w:color w:val="auto"/>
          <w:szCs w:val="32"/>
          <w:highlight w:val="none"/>
          <w:lang w:val="en-US" w:eastAsia="zh-CN"/>
        </w:rPr>
      </w:pPr>
      <w:r>
        <w:rPr>
          <w:rFonts w:hint="eastAsia" w:cs="Times New Roman"/>
          <w:color w:val="auto"/>
          <w:szCs w:val="32"/>
          <w:highlight w:val="none"/>
          <w:lang w:val="en-US" w:eastAsia="zh-CN"/>
        </w:rPr>
        <w:t>为了更全面考虑，规定了本标准中未作规定的内容和要求，按国家或地方相关标准执行。企业未遵守本标准规定的措施性控制要求，属于违法行为的，依照法律法规等有关规定予以处理。</w:t>
      </w:r>
    </w:p>
    <w:p>
      <w:pPr>
        <w:spacing w:line="360" w:lineRule="auto"/>
        <w:ind w:firstLine="640"/>
        <w:rPr>
          <w:rFonts w:hint="eastAsia" w:cs="Times New Roman"/>
          <w:color w:val="auto"/>
          <w:szCs w:val="32"/>
          <w:highlight w:val="none"/>
          <w:lang w:val="en-US" w:eastAsia="zh-CN"/>
        </w:rPr>
      </w:pPr>
      <w:r>
        <w:rPr>
          <w:rFonts w:hint="eastAsia" w:cs="Times New Roman"/>
          <w:color w:val="auto"/>
          <w:szCs w:val="32"/>
          <w:highlight w:val="none"/>
          <w:lang w:val="en-US" w:eastAsia="zh-CN"/>
        </w:rPr>
        <w:t>另外，规定本标准实施后，企业排污许可证规定的要求宽于本标准的，应当在标准实施之日前依法变更排污许可证。</w:t>
      </w:r>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158" w:name="_Toc14920"/>
      <w:r>
        <w:rPr>
          <w:rFonts w:ascii="Times New Roman" w:hAnsi="Times New Roman" w:eastAsia="仿宋_GB2312" w:cs="Times New Roman"/>
          <w:b/>
          <w:bCs/>
          <w:color w:val="auto"/>
          <w:szCs w:val="22"/>
          <w:highlight w:val="none"/>
        </w:rPr>
        <w:t>5.</w:t>
      </w:r>
      <w:r>
        <w:rPr>
          <w:rFonts w:hint="eastAsia" w:eastAsia="仿宋_GB2312" w:cs="Times New Roman"/>
          <w:b/>
          <w:bCs/>
          <w:color w:val="auto"/>
          <w:szCs w:val="22"/>
          <w:highlight w:val="none"/>
          <w:lang w:val="en-US" w:eastAsia="zh-CN"/>
        </w:rPr>
        <w:t>8</w:t>
      </w:r>
      <w:r>
        <w:rPr>
          <w:rFonts w:ascii="Times New Roman" w:hAnsi="Times New Roman" w:eastAsia="仿宋_GB2312" w:cs="Times New Roman"/>
          <w:b/>
          <w:bCs/>
          <w:color w:val="auto"/>
          <w:szCs w:val="22"/>
          <w:highlight w:val="none"/>
        </w:rPr>
        <w:t>本标准与国家、其他省份标准控制水平对比</w:t>
      </w:r>
      <w:bookmarkEnd w:id="158"/>
    </w:p>
    <w:p>
      <w:pPr>
        <w:spacing w:line="360" w:lineRule="auto"/>
        <w:ind w:firstLine="640"/>
        <w:rPr>
          <w:rFonts w:cs="Times New Roman"/>
          <w:color w:val="auto"/>
          <w:highlight w:val="none"/>
        </w:rPr>
      </w:pPr>
      <w:r>
        <w:rPr>
          <w:rFonts w:cs="Times New Roman"/>
          <w:color w:val="auto"/>
          <w:highlight w:val="none"/>
        </w:rPr>
        <w:t>本标准颗粒物、二氧化硫、氮氧化物等主要指标均严于国家现行的</w:t>
      </w:r>
      <w:r>
        <w:rPr>
          <w:rFonts w:cs="Times New Roman"/>
          <w:color w:val="auto"/>
          <w:szCs w:val="32"/>
          <w:highlight w:val="none"/>
        </w:rPr>
        <w:t>《生活垃圾焚烧污染控制标准》（GB 18485），</w:t>
      </w:r>
      <w:r>
        <w:rPr>
          <w:rFonts w:cs="Times New Roman"/>
          <w:color w:val="auto"/>
          <w:highlight w:val="none"/>
        </w:rPr>
        <w:t>一氧化碳、二噁英与国家标准保持一致，在国家标准基础上，增加了氨逃逸的控制。</w:t>
      </w:r>
    </w:p>
    <w:p>
      <w:pPr>
        <w:ind w:firstLine="640"/>
        <w:rPr>
          <w:rFonts w:cs="Times New Roman"/>
          <w:color w:val="auto"/>
          <w:highlight w:val="none"/>
        </w:rPr>
      </w:pPr>
      <w:r>
        <w:rPr>
          <w:rFonts w:cs="Times New Roman"/>
          <w:color w:val="auto"/>
          <w:highlight w:val="none"/>
        </w:rPr>
        <w:t>与其他省份标准对比：</w:t>
      </w:r>
    </w:p>
    <w:p>
      <w:pPr>
        <w:ind w:firstLine="640"/>
        <w:rPr>
          <w:rFonts w:cs="Times New Roman"/>
          <w:color w:val="auto"/>
          <w:highlight w:val="none"/>
        </w:rPr>
      </w:pPr>
      <w:r>
        <w:rPr>
          <w:rFonts w:cs="Times New Roman"/>
          <w:b/>
          <w:bCs/>
          <w:color w:val="auto"/>
          <w:highlight w:val="none"/>
        </w:rPr>
        <w:t>颗粒物</w:t>
      </w:r>
      <w:r>
        <w:rPr>
          <w:rFonts w:cs="Times New Roman"/>
          <w:color w:val="auto"/>
          <w:highlight w:val="none"/>
        </w:rPr>
        <w:t>：小时均值、日均值均与河北、海南、深圳、山东（征求意见稿）、</w:t>
      </w:r>
      <w:bookmarkStart w:id="159" w:name="_Hlk120610905"/>
      <w:r>
        <w:rPr>
          <w:rFonts w:cs="Times New Roman"/>
          <w:color w:val="auto"/>
          <w:highlight w:val="none"/>
        </w:rPr>
        <w:t>江苏（</w:t>
      </w:r>
      <w:r>
        <w:rPr>
          <w:rFonts w:hint="eastAsia" w:cs="Times New Roman"/>
          <w:color w:val="auto"/>
          <w:highlight w:val="none"/>
          <w:lang w:val="en-US" w:eastAsia="zh-CN"/>
        </w:rPr>
        <w:t>二次</w:t>
      </w:r>
      <w:r>
        <w:rPr>
          <w:rFonts w:cs="Times New Roman"/>
          <w:color w:val="auto"/>
          <w:highlight w:val="none"/>
        </w:rPr>
        <w:t>征求意见稿）</w:t>
      </w:r>
      <w:bookmarkEnd w:id="159"/>
      <w:r>
        <w:rPr>
          <w:rFonts w:cs="Times New Roman"/>
          <w:color w:val="auto"/>
          <w:highlight w:val="none"/>
        </w:rPr>
        <w:t>、天津排放限值相同。</w:t>
      </w:r>
    </w:p>
    <w:p>
      <w:pPr>
        <w:ind w:firstLine="640"/>
        <w:rPr>
          <w:rFonts w:cs="Times New Roman"/>
          <w:color w:val="auto"/>
          <w:highlight w:val="none"/>
        </w:rPr>
      </w:pPr>
      <w:r>
        <w:rPr>
          <w:rFonts w:cs="Times New Roman"/>
          <w:b/>
          <w:bCs/>
          <w:color w:val="auto"/>
          <w:highlight w:val="none"/>
        </w:rPr>
        <w:t>二氧化硫</w:t>
      </w:r>
      <w:bookmarkStart w:id="160" w:name="_Hlk120610451"/>
      <w:r>
        <w:rPr>
          <w:rFonts w:cs="Times New Roman"/>
          <w:color w:val="auto"/>
          <w:highlight w:val="none"/>
        </w:rPr>
        <w:t>：</w:t>
      </w:r>
      <w:bookmarkStart w:id="161" w:name="_Hlk120611014"/>
      <w:r>
        <w:rPr>
          <w:rFonts w:cs="Times New Roman"/>
          <w:color w:val="auto"/>
          <w:highlight w:val="none"/>
        </w:rPr>
        <w:t>小时均值35</w:t>
      </w:r>
      <w:r>
        <w:rPr>
          <w:rFonts w:cs="Times New Roman"/>
          <w:color w:val="auto"/>
          <w:szCs w:val="32"/>
          <w:highlight w:val="none"/>
        </w:rPr>
        <w:t xml:space="preserve"> mg/m</w:t>
      </w:r>
      <w:r>
        <w:rPr>
          <w:rFonts w:cs="Times New Roman"/>
          <w:color w:val="auto"/>
          <w:szCs w:val="32"/>
          <w:highlight w:val="none"/>
          <w:vertAlign w:val="superscript"/>
        </w:rPr>
        <w:t>3</w:t>
      </w:r>
      <w:r>
        <w:rPr>
          <w:rFonts w:cs="Times New Roman"/>
          <w:color w:val="auto"/>
          <w:highlight w:val="none"/>
        </w:rPr>
        <w:t>严</w:t>
      </w:r>
      <w:bookmarkStart w:id="162" w:name="_Hlk120611241"/>
      <w:r>
        <w:rPr>
          <w:rFonts w:cs="Times New Roman"/>
          <w:color w:val="auto"/>
          <w:highlight w:val="none"/>
        </w:rPr>
        <w:t>与</w:t>
      </w:r>
      <w:bookmarkEnd w:id="162"/>
      <w:r>
        <w:rPr>
          <w:rFonts w:cs="Times New Roman"/>
          <w:color w:val="auto"/>
          <w:highlight w:val="none"/>
        </w:rPr>
        <w:t>河北</w:t>
      </w:r>
      <w:bookmarkStart w:id="163" w:name="_Hlk120610732"/>
      <w:r>
        <w:rPr>
          <w:rFonts w:cs="Times New Roman"/>
          <w:color w:val="auto"/>
          <w:highlight w:val="none"/>
        </w:rPr>
        <w:t>（40</w:t>
      </w:r>
      <w:r>
        <w:rPr>
          <w:rFonts w:cs="Times New Roman"/>
          <w:color w:val="auto"/>
          <w:szCs w:val="32"/>
          <w:highlight w:val="none"/>
        </w:rPr>
        <w:t xml:space="preserve"> mg/m</w:t>
      </w:r>
      <w:r>
        <w:rPr>
          <w:rFonts w:cs="Times New Roman"/>
          <w:color w:val="auto"/>
          <w:szCs w:val="32"/>
          <w:highlight w:val="none"/>
          <w:vertAlign w:val="superscript"/>
        </w:rPr>
        <w:t>3</w:t>
      </w:r>
      <w:r>
        <w:rPr>
          <w:rFonts w:cs="Times New Roman"/>
          <w:color w:val="auto"/>
          <w:highlight w:val="none"/>
        </w:rPr>
        <w:t>）</w:t>
      </w:r>
      <w:bookmarkEnd w:id="163"/>
      <w:r>
        <w:rPr>
          <w:rFonts w:cs="Times New Roman"/>
          <w:color w:val="auto"/>
          <w:highlight w:val="none"/>
        </w:rPr>
        <w:t>、山东（40</w:t>
      </w:r>
      <w:r>
        <w:rPr>
          <w:rFonts w:cs="Times New Roman"/>
          <w:color w:val="auto"/>
          <w:szCs w:val="32"/>
          <w:highlight w:val="none"/>
        </w:rPr>
        <w:t xml:space="preserve"> mg/m</w:t>
      </w:r>
      <w:r>
        <w:rPr>
          <w:rFonts w:cs="Times New Roman"/>
          <w:color w:val="auto"/>
          <w:szCs w:val="32"/>
          <w:highlight w:val="none"/>
          <w:vertAlign w:val="superscript"/>
        </w:rPr>
        <w:t>3</w:t>
      </w:r>
      <w:r>
        <w:rPr>
          <w:rFonts w:cs="Times New Roman"/>
          <w:color w:val="auto"/>
          <w:highlight w:val="none"/>
        </w:rPr>
        <w:t>征求意见稿）、天津（40</w:t>
      </w:r>
      <w:r>
        <w:rPr>
          <w:rFonts w:cs="Times New Roman"/>
          <w:color w:val="auto"/>
          <w:szCs w:val="32"/>
          <w:highlight w:val="none"/>
        </w:rPr>
        <w:t xml:space="preserve"> mg/m</w:t>
      </w:r>
      <w:r>
        <w:rPr>
          <w:rFonts w:cs="Times New Roman"/>
          <w:color w:val="auto"/>
          <w:szCs w:val="32"/>
          <w:highlight w:val="none"/>
          <w:vertAlign w:val="superscript"/>
        </w:rPr>
        <w:t>3</w:t>
      </w:r>
      <w:r>
        <w:rPr>
          <w:rFonts w:cs="Times New Roman"/>
          <w:color w:val="auto"/>
          <w:highlight w:val="none"/>
        </w:rPr>
        <w:t>）；宽松与海南（30</w:t>
      </w:r>
      <w:r>
        <w:rPr>
          <w:rFonts w:cs="Times New Roman"/>
          <w:color w:val="auto"/>
          <w:szCs w:val="32"/>
          <w:highlight w:val="none"/>
        </w:rPr>
        <w:t xml:space="preserve"> mg/m</w:t>
      </w:r>
      <w:r>
        <w:rPr>
          <w:rFonts w:cs="Times New Roman"/>
          <w:color w:val="auto"/>
          <w:szCs w:val="32"/>
          <w:highlight w:val="none"/>
          <w:vertAlign w:val="superscript"/>
        </w:rPr>
        <w:t>3</w:t>
      </w:r>
      <w:r>
        <w:rPr>
          <w:rFonts w:cs="Times New Roman"/>
          <w:color w:val="auto"/>
          <w:highlight w:val="none"/>
        </w:rPr>
        <w:t>）、深圳（30</w:t>
      </w:r>
      <w:r>
        <w:rPr>
          <w:rFonts w:cs="Times New Roman"/>
          <w:color w:val="auto"/>
          <w:szCs w:val="32"/>
          <w:highlight w:val="none"/>
        </w:rPr>
        <w:t xml:space="preserve"> mg/m</w:t>
      </w:r>
      <w:r>
        <w:rPr>
          <w:rFonts w:cs="Times New Roman"/>
          <w:color w:val="auto"/>
          <w:szCs w:val="32"/>
          <w:highlight w:val="none"/>
          <w:vertAlign w:val="superscript"/>
        </w:rPr>
        <w:t>3</w:t>
      </w:r>
      <w:r>
        <w:rPr>
          <w:rFonts w:cs="Times New Roman"/>
          <w:color w:val="auto"/>
          <w:highlight w:val="none"/>
        </w:rPr>
        <w:t>）、江苏（30</w:t>
      </w:r>
      <w:r>
        <w:rPr>
          <w:rFonts w:cs="Times New Roman"/>
          <w:color w:val="auto"/>
          <w:szCs w:val="32"/>
          <w:highlight w:val="none"/>
        </w:rPr>
        <w:t xml:space="preserve"> mg/m</w:t>
      </w:r>
      <w:r>
        <w:rPr>
          <w:rFonts w:cs="Times New Roman"/>
          <w:color w:val="auto"/>
          <w:szCs w:val="32"/>
          <w:highlight w:val="none"/>
          <w:vertAlign w:val="superscript"/>
        </w:rPr>
        <w:t>3</w:t>
      </w:r>
      <w:r>
        <w:rPr>
          <w:rFonts w:hint="eastAsia" w:cs="Times New Roman"/>
          <w:color w:val="auto"/>
          <w:highlight w:val="none"/>
          <w:lang w:val="en-US" w:eastAsia="zh-CN"/>
        </w:rPr>
        <w:t>二次征</w:t>
      </w:r>
      <w:r>
        <w:rPr>
          <w:rFonts w:cs="Times New Roman"/>
          <w:color w:val="auto"/>
          <w:highlight w:val="none"/>
        </w:rPr>
        <w:t>求意见稿）；</w:t>
      </w:r>
      <w:bookmarkEnd w:id="161"/>
      <w:r>
        <w:rPr>
          <w:rFonts w:cs="Times New Roman"/>
          <w:color w:val="auto"/>
          <w:highlight w:val="none"/>
        </w:rPr>
        <w:t>日均值30</w:t>
      </w:r>
      <w:r>
        <w:rPr>
          <w:rFonts w:cs="Times New Roman"/>
          <w:color w:val="auto"/>
          <w:szCs w:val="32"/>
          <w:highlight w:val="none"/>
        </w:rPr>
        <w:t xml:space="preserve"> mg/m</w:t>
      </w:r>
      <w:r>
        <w:rPr>
          <w:rFonts w:cs="Times New Roman"/>
          <w:color w:val="auto"/>
          <w:szCs w:val="32"/>
          <w:highlight w:val="none"/>
          <w:vertAlign w:val="superscript"/>
        </w:rPr>
        <w:t>3</w:t>
      </w:r>
      <w:r>
        <w:rPr>
          <w:rFonts w:cs="Times New Roman"/>
          <w:color w:val="auto"/>
          <w:highlight w:val="none"/>
        </w:rPr>
        <w:t>与山东</w:t>
      </w:r>
      <w:r>
        <w:rPr>
          <w:rFonts w:hint="eastAsia" w:cs="Times New Roman"/>
          <w:color w:val="auto"/>
          <w:highlight w:val="none"/>
          <w:lang w:eastAsia="zh-CN"/>
        </w:rPr>
        <w:t>（</w:t>
      </w:r>
      <w:r>
        <w:rPr>
          <w:rFonts w:hint="eastAsia" w:cs="Times New Roman"/>
          <w:color w:val="auto"/>
          <w:highlight w:val="none"/>
          <w:lang w:val="en-US" w:eastAsia="zh-CN"/>
        </w:rPr>
        <w:t>征求意见稿</w:t>
      </w:r>
      <w:r>
        <w:rPr>
          <w:rFonts w:hint="eastAsia" w:cs="Times New Roman"/>
          <w:color w:val="auto"/>
          <w:highlight w:val="none"/>
          <w:lang w:eastAsia="zh-CN"/>
        </w:rPr>
        <w:t>）</w:t>
      </w:r>
      <w:r>
        <w:rPr>
          <w:rFonts w:cs="Times New Roman"/>
          <w:color w:val="auto"/>
          <w:highlight w:val="none"/>
        </w:rPr>
        <w:t>、深圳相同，严与河北（20</w:t>
      </w:r>
      <w:r>
        <w:rPr>
          <w:rFonts w:cs="Times New Roman"/>
          <w:color w:val="auto"/>
          <w:szCs w:val="32"/>
          <w:highlight w:val="none"/>
        </w:rPr>
        <w:t xml:space="preserve"> mg/m</w:t>
      </w:r>
      <w:r>
        <w:rPr>
          <w:rFonts w:cs="Times New Roman"/>
          <w:color w:val="auto"/>
          <w:szCs w:val="32"/>
          <w:highlight w:val="none"/>
          <w:vertAlign w:val="superscript"/>
        </w:rPr>
        <w:t>3</w:t>
      </w:r>
      <w:r>
        <w:rPr>
          <w:rFonts w:cs="Times New Roman"/>
          <w:color w:val="auto"/>
          <w:highlight w:val="none"/>
        </w:rPr>
        <w:t>）、海南（20</w:t>
      </w:r>
      <w:r>
        <w:rPr>
          <w:rFonts w:cs="Times New Roman"/>
          <w:color w:val="auto"/>
          <w:szCs w:val="32"/>
          <w:highlight w:val="none"/>
        </w:rPr>
        <w:t xml:space="preserve"> mg/m</w:t>
      </w:r>
      <w:r>
        <w:rPr>
          <w:rFonts w:cs="Times New Roman"/>
          <w:color w:val="auto"/>
          <w:szCs w:val="32"/>
          <w:highlight w:val="none"/>
          <w:vertAlign w:val="superscript"/>
        </w:rPr>
        <w:t>3</w:t>
      </w:r>
      <w:r>
        <w:rPr>
          <w:rFonts w:cs="Times New Roman"/>
          <w:color w:val="auto"/>
          <w:highlight w:val="none"/>
        </w:rPr>
        <w:t>）、天津（20</w:t>
      </w:r>
      <w:r>
        <w:rPr>
          <w:rFonts w:cs="Times New Roman"/>
          <w:color w:val="auto"/>
          <w:szCs w:val="32"/>
          <w:highlight w:val="none"/>
        </w:rPr>
        <w:t xml:space="preserve"> mg/m</w:t>
      </w:r>
      <w:r>
        <w:rPr>
          <w:rFonts w:cs="Times New Roman"/>
          <w:color w:val="auto"/>
          <w:szCs w:val="32"/>
          <w:highlight w:val="none"/>
          <w:vertAlign w:val="superscript"/>
        </w:rPr>
        <w:t>3</w:t>
      </w:r>
      <w:r>
        <w:rPr>
          <w:rFonts w:cs="Times New Roman"/>
          <w:color w:val="auto"/>
          <w:highlight w:val="none"/>
        </w:rPr>
        <w:t>）</w:t>
      </w:r>
      <w:bookmarkStart w:id="164" w:name="_Hlk120611801"/>
      <w:r>
        <w:rPr>
          <w:rFonts w:cs="Times New Roman"/>
          <w:color w:val="auto"/>
          <w:highlight w:val="none"/>
        </w:rPr>
        <w:t>。</w:t>
      </w:r>
      <w:bookmarkEnd w:id="164"/>
      <w:r>
        <w:rPr>
          <w:rFonts w:cs="Times New Roman"/>
          <w:color w:val="auto"/>
          <w:highlight w:val="none"/>
        </w:rPr>
        <w:t xml:space="preserve"> </w:t>
      </w:r>
    </w:p>
    <w:p>
      <w:pPr>
        <w:ind w:firstLine="640"/>
        <w:rPr>
          <w:rFonts w:hint="default" w:eastAsia="仿宋_GB2312" w:cs="Times New Roman"/>
          <w:color w:val="auto"/>
          <w:highlight w:val="none"/>
          <w:lang w:val="en-US" w:eastAsia="zh-CN"/>
        </w:rPr>
      </w:pPr>
      <w:bookmarkStart w:id="165" w:name="_Hlk120611868"/>
      <w:r>
        <w:rPr>
          <w:rFonts w:cs="Times New Roman"/>
          <w:b/>
          <w:bCs/>
          <w:color w:val="auto"/>
          <w:highlight w:val="none"/>
        </w:rPr>
        <w:t>氮氧化物</w:t>
      </w:r>
      <w:r>
        <w:rPr>
          <w:rFonts w:cs="Times New Roman"/>
          <w:color w:val="auto"/>
          <w:highlight w:val="none"/>
        </w:rPr>
        <w:t>：</w:t>
      </w:r>
      <w:bookmarkEnd w:id="165"/>
      <w:r>
        <w:rPr>
          <w:rFonts w:cs="Times New Roman"/>
          <w:color w:val="auto"/>
          <w:spacing w:val="-2"/>
          <w:kern w:val="0"/>
          <w:szCs w:val="32"/>
          <w:highlight w:val="none"/>
        </w:rPr>
        <w:t>氮氧化物小时和日均值与河北、海南、山东、一致；小时均值与天津市一致</w:t>
      </w:r>
      <w:r>
        <w:rPr>
          <w:rFonts w:hint="eastAsia" w:cs="Times New Roman"/>
          <w:color w:val="auto"/>
          <w:spacing w:val="-2"/>
          <w:kern w:val="0"/>
          <w:szCs w:val="32"/>
          <w:highlight w:val="none"/>
          <w:lang w:eastAsia="zh-CN"/>
        </w:rPr>
        <w:t>，</w:t>
      </w:r>
      <w:r>
        <w:rPr>
          <w:rFonts w:cs="Times New Roman"/>
          <w:color w:val="auto"/>
          <w:spacing w:val="-2"/>
          <w:kern w:val="0"/>
          <w:szCs w:val="32"/>
          <w:highlight w:val="none"/>
        </w:rPr>
        <w:t>日均值高与天津市标准（100毫克/立方米）；高于</w:t>
      </w:r>
      <w:bookmarkStart w:id="166" w:name="_Hlk120611762"/>
      <w:r>
        <w:rPr>
          <w:rFonts w:cs="Times New Roman"/>
          <w:color w:val="auto"/>
          <w:spacing w:val="-2"/>
          <w:kern w:val="0"/>
          <w:szCs w:val="32"/>
          <w:highlight w:val="none"/>
        </w:rPr>
        <w:t>福建省小时均值（100毫克/立方米）、日均值（80毫克/立方米）</w:t>
      </w:r>
      <w:bookmarkEnd w:id="166"/>
      <w:r>
        <w:rPr>
          <w:rFonts w:cs="Times New Roman"/>
          <w:color w:val="auto"/>
          <w:spacing w:val="-2"/>
          <w:kern w:val="0"/>
          <w:szCs w:val="32"/>
          <w:highlight w:val="none"/>
        </w:rPr>
        <w:t>，高于</w:t>
      </w:r>
      <w:r>
        <w:rPr>
          <w:rFonts w:cs="Times New Roman"/>
          <w:color w:val="auto"/>
          <w:highlight w:val="none"/>
        </w:rPr>
        <w:t>深圳市</w:t>
      </w:r>
      <w:r>
        <w:rPr>
          <w:rFonts w:cs="Times New Roman"/>
          <w:color w:val="auto"/>
          <w:spacing w:val="-2"/>
          <w:kern w:val="0"/>
          <w:szCs w:val="32"/>
          <w:highlight w:val="none"/>
        </w:rPr>
        <w:t>小时均值（80毫克/立方米）、日均值（80毫克/立方米）</w:t>
      </w:r>
      <w:r>
        <w:rPr>
          <w:rFonts w:hint="eastAsia" w:cs="Times New Roman"/>
          <w:color w:val="auto"/>
          <w:spacing w:val="-2"/>
          <w:kern w:val="0"/>
          <w:szCs w:val="32"/>
          <w:highlight w:val="none"/>
          <w:lang w:eastAsia="zh-CN"/>
        </w:rPr>
        <w:t>，</w:t>
      </w:r>
      <w:r>
        <w:rPr>
          <w:rFonts w:hint="eastAsia" w:cs="Times New Roman"/>
          <w:color w:val="auto"/>
          <w:spacing w:val="-2"/>
          <w:kern w:val="0"/>
          <w:szCs w:val="32"/>
          <w:highlight w:val="none"/>
          <w:lang w:val="en-US" w:eastAsia="zh-CN"/>
        </w:rPr>
        <w:t>江苏省小时浓度均值（</w:t>
      </w:r>
      <w:r>
        <w:rPr>
          <w:rFonts w:cs="Times New Roman"/>
          <w:color w:val="auto"/>
          <w:spacing w:val="-2"/>
          <w:kern w:val="0"/>
          <w:szCs w:val="32"/>
          <w:highlight w:val="none"/>
        </w:rPr>
        <w:t>80毫克/立方米</w:t>
      </w:r>
      <w:r>
        <w:rPr>
          <w:rFonts w:hint="eastAsia" w:cs="Times New Roman"/>
          <w:color w:val="auto"/>
          <w:spacing w:val="-2"/>
          <w:kern w:val="0"/>
          <w:szCs w:val="32"/>
          <w:highlight w:val="none"/>
          <w:lang w:val="en-US" w:eastAsia="zh-CN"/>
        </w:rPr>
        <w:t>）（二次征求意见稿）。</w:t>
      </w:r>
    </w:p>
    <w:p>
      <w:pPr>
        <w:spacing w:line="360" w:lineRule="auto"/>
        <w:ind w:firstLine="640"/>
        <w:rPr>
          <w:rFonts w:cs="Times New Roman"/>
          <w:color w:val="auto"/>
          <w:highlight w:val="none"/>
        </w:rPr>
      </w:pPr>
      <w:r>
        <w:rPr>
          <w:rFonts w:cs="Times New Roman"/>
          <w:b/>
          <w:bCs/>
          <w:color w:val="auto"/>
          <w:highlight w:val="none"/>
        </w:rPr>
        <w:t>氨</w:t>
      </w:r>
      <w:r>
        <w:rPr>
          <w:rFonts w:cs="Times New Roman"/>
          <w:color w:val="auto"/>
          <w:highlight w:val="none"/>
        </w:rPr>
        <w:t>：氨小时均值</w:t>
      </w:r>
      <w:r>
        <w:rPr>
          <w:rFonts w:cs="Times New Roman"/>
          <w:color w:val="auto"/>
          <w:szCs w:val="32"/>
          <w:highlight w:val="none"/>
        </w:rPr>
        <w:t>（</w:t>
      </w:r>
      <w:r>
        <w:rPr>
          <w:rFonts w:cs="Times New Roman"/>
          <w:color w:val="auto"/>
          <w:highlight w:val="none"/>
        </w:rPr>
        <w:t>12</w:t>
      </w:r>
      <w:r>
        <w:rPr>
          <w:rFonts w:cs="Times New Roman"/>
          <w:color w:val="auto"/>
          <w:szCs w:val="32"/>
          <w:highlight w:val="none"/>
        </w:rPr>
        <w:t xml:space="preserve"> mg/m</w:t>
      </w:r>
      <w:r>
        <w:rPr>
          <w:rFonts w:cs="Times New Roman"/>
          <w:color w:val="auto"/>
          <w:szCs w:val="32"/>
          <w:highlight w:val="none"/>
          <w:vertAlign w:val="superscript"/>
        </w:rPr>
        <w:t>3</w:t>
      </w:r>
      <w:r>
        <w:rPr>
          <w:rFonts w:cs="Times New Roman"/>
          <w:color w:val="auto"/>
          <w:szCs w:val="32"/>
          <w:highlight w:val="none"/>
        </w:rPr>
        <w:t>）</w:t>
      </w:r>
      <w:r>
        <w:rPr>
          <w:rFonts w:cs="Times New Roman"/>
          <w:color w:val="auto"/>
          <w:highlight w:val="none"/>
        </w:rPr>
        <w:t>宽松与</w:t>
      </w:r>
      <w:r>
        <w:rPr>
          <w:rFonts w:cs="Times New Roman"/>
          <w:color w:val="auto"/>
          <w:szCs w:val="32"/>
          <w:highlight w:val="none"/>
        </w:rPr>
        <w:t>河北（</w:t>
      </w:r>
      <w:r>
        <w:rPr>
          <w:rFonts w:hint="eastAsia" w:cs="Times New Roman"/>
          <w:color w:val="auto"/>
          <w:highlight w:val="none"/>
          <w:lang w:val="en-US" w:eastAsia="zh-CN"/>
        </w:rPr>
        <w:t>8</w:t>
      </w:r>
      <w:r>
        <w:rPr>
          <w:rFonts w:cs="Times New Roman"/>
          <w:color w:val="auto"/>
          <w:szCs w:val="32"/>
          <w:highlight w:val="none"/>
        </w:rPr>
        <w:t xml:space="preserve"> mg/m</w:t>
      </w:r>
      <w:r>
        <w:rPr>
          <w:rFonts w:cs="Times New Roman"/>
          <w:color w:val="auto"/>
          <w:szCs w:val="32"/>
          <w:highlight w:val="none"/>
          <w:vertAlign w:val="superscript"/>
        </w:rPr>
        <w:t>3</w:t>
      </w:r>
      <w:r>
        <w:rPr>
          <w:rFonts w:cs="Times New Roman"/>
          <w:color w:val="auto"/>
          <w:szCs w:val="32"/>
          <w:highlight w:val="none"/>
        </w:rPr>
        <w:t>）、山东（</w:t>
      </w:r>
      <w:r>
        <w:rPr>
          <w:rFonts w:hint="eastAsia" w:cs="Times New Roman"/>
          <w:color w:val="auto"/>
          <w:highlight w:val="none"/>
          <w:lang w:val="en-US" w:eastAsia="zh-CN"/>
        </w:rPr>
        <w:t xml:space="preserve">8 </w:t>
      </w:r>
      <w:r>
        <w:rPr>
          <w:rFonts w:cs="Times New Roman"/>
          <w:color w:val="auto"/>
          <w:szCs w:val="32"/>
          <w:highlight w:val="none"/>
        </w:rPr>
        <w:t>mg/m</w:t>
      </w:r>
      <w:r>
        <w:rPr>
          <w:rFonts w:cs="Times New Roman"/>
          <w:color w:val="auto"/>
          <w:szCs w:val="32"/>
          <w:highlight w:val="none"/>
          <w:vertAlign w:val="superscript"/>
        </w:rPr>
        <w:t>3</w:t>
      </w:r>
      <w:r>
        <w:rPr>
          <w:rFonts w:cs="Times New Roman"/>
          <w:color w:val="auto"/>
          <w:szCs w:val="32"/>
          <w:highlight w:val="none"/>
        </w:rPr>
        <w:t>）、天津（</w:t>
      </w:r>
      <w:bookmarkStart w:id="167" w:name="_Hlk120612258"/>
      <w:r>
        <w:rPr>
          <w:rFonts w:hint="eastAsia" w:cs="Times New Roman"/>
          <w:color w:val="auto"/>
          <w:highlight w:val="none"/>
          <w:lang w:val="en-US" w:eastAsia="zh-CN"/>
        </w:rPr>
        <w:t xml:space="preserve">8 </w:t>
      </w:r>
      <w:r>
        <w:rPr>
          <w:rFonts w:cs="Times New Roman"/>
          <w:color w:val="auto"/>
          <w:szCs w:val="32"/>
          <w:highlight w:val="none"/>
        </w:rPr>
        <w:t>mg/m</w:t>
      </w:r>
      <w:r>
        <w:rPr>
          <w:rFonts w:cs="Times New Roman"/>
          <w:color w:val="auto"/>
          <w:szCs w:val="32"/>
          <w:highlight w:val="none"/>
          <w:vertAlign w:val="superscript"/>
        </w:rPr>
        <w:t>3</w:t>
      </w:r>
      <w:bookmarkEnd w:id="167"/>
      <w:r>
        <w:rPr>
          <w:rFonts w:cs="Times New Roman"/>
          <w:color w:val="auto"/>
          <w:szCs w:val="32"/>
          <w:highlight w:val="none"/>
        </w:rPr>
        <w:t>）、江苏</w:t>
      </w:r>
      <w:bookmarkStart w:id="168" w:name="_Hlk120612195"/>
      <w:r>
        <w:rPr>
          <w:rFonts w:cs="Times New Roman"/>
          <w:color w:val="auto"/>
          <w:szCs w:val="32"/>
          <w:highlight w:val="none"/>
        </w:rPr>
        <w:t>（</w:t>
      </w:r>
      <w:r>
        <w:rPr>
          <w:rFonts w:hint="eastAsia" w:cs="Times New Roman"/>
          <w:color w:val="auto"/>
          <w:highlight w:val="none"/>
          <w:lang w:val="en-US" w:eastAsia="zh-CN"/>
        </w:rPr>
        <w:t>8</w:t>
      </w:r>
      <w:r>
        <w:rPr>
          <w:rFonts w:cs="Times New Roman"/>
          <w:color w:val="auto"/>
          <w:szCs w:val="32"/>
          <w:highlight w:val="none"/>
        </w:rPr>
        <w:t xml:space="preserve"> mg/m</w:t>
      </w:r>
      <w:r>
        <w:rPr>
          <w:rFonts w:cs="Times New Roman"/>
          <w:color w:val="auto"/>
          <w:szCs w:val="32"/>
          <w:highlight w:val="none"/>
          <w:vertAlign w:val="superscript"/>
        </w:rPr>
        <w:t>3</w:t>
      </w:r>
      <w:r>
        <w:rPr>
          <w:rFonts w:hint="eastAsia" w:cs="Times New Roman"/>
          <w:color w:val="auto"/>
          <w:highlight w:val="none"/>
          <w:lang w:val="en-US" w:eastAsia="zh-CN"/>
        </w:rPr>
        <w:t>二次征</w:t>
      </w:r>
      <w:r>
        <w:rPr>
          <w:rFonts w:cs="Times New Roman"/>
          <w:color w:val="auto"/>
          <w:highlight w:val="none"/>
        </w:rPr>
        <w:t>求意见稿</w:t>
      </w:r>
      <w:r>
        <w:rPr>
          <w:rFonts w:cs="Times New Roman"/>
          <w:color w:val="auto"/>
          <w:szCs w:val="32"/>
          <w:highlight w:val="none"/>
        </w:rPr>
        <w:t>）</w:t>
      </w:r>
      <w:bookmarkEnd w:id="168"/>
      <w:r>
        <w:rPr>
          <w:rFonts w:cs="Times New Roman"/>
          <w:color w:val="auto"/>
          <w:szCs w:val="32"/>
          <w:highlight w:val="none"/>
        </w:rPr>
        <w:t>；并且首次在全国提出日均值限值8 mg/m</w:t>
      </w:r>
      <w:r>
        <w:rPr>
          <w:rFonts w:cs="Times New Roman"/>
          <w:color w:val="auto"/>
          <w:szCs w:val="32"/>
          <w:highlight w:val="none"/>
          <w:vertAlign w:val="superscript"/>
        </w:rPr>
        <w:t>3</w:t>
      </w:r>
      <w:r>
        <w:rPr>
          <w:rFonts w:cs="Times New Roman"/>
          <w:color w:val="auto"/>
          <w:highlight w:val="none"/>
        </w:rPr>
        <w:t>，兼顾了污染物总量减排和企业实际运行情况，提高了标准的可行性。</w:t>
      </w:r>
    </w:p>
    <w:p>
      <w:pPr>
        <w:spacing w:line="360" w:lineRule="auto"/>
        <w:ind w:firstLine="640"/>
        <w:rPr>
          <w:rFonts w:cs="Times New Roman"/>
          <w:color w:val="auto"/>
          <w:highlight w:val="none"/>
        </w:rPr>
      </w:pPr>
      <w:r>
        <w:rPr>
          <w:rFonts w:cs="Times New Roman"/>
          <w:color w:val="auto"/>
          <w:highlight w:val="none"/>
        </w:rPr>
        <w:t>本标准与国家及其他省份标准对比情况</w:t>
      </w:r>
      <w:r>
        <w:rPr>
          <w:rFonts w:hint="eastAsia" w:cs="Times New Roman"/>
          <w:color w:val="auto"/>
          <w:highlight w:val="none"/>
        </w:rPr>
        <w:t>见表</w:t>
      </w:r>
      <w:r>
        <w:rPr>
          <w:rFonts w:cs="Times New Roman"/>
          <w:color w:val="auto"/>
          <w:highlight w:val="none"/>
        </w:rPr>
        <w:t>5.7-1。</w:t>
      </w:r>
    </w:p>
    <w:p>
      <w:pPr>
        <w:ind w:firstLine="640"/>
        <w:rPr>
          <w:rFonts w:cs="Times New Roman"/>
          <w:color w:val="auto"/>
          <w:highlight w:val="none"/>
        </w:rPr>
      </w:pPr>
    </w:p>
    <w:bookmarkEnd w:id="160"/>
    <w:p>
      <w:pPr>
        <w:ind w:firstLine="640"/>
        <w:rPr>
          <w:rFonts w:cs="Times New Roman"/>
          <w:color w:val="auto"/>
          <w:szCs w:val="32"/>
          <w:highlight w:val="none"/>
        </w:rPr>
      </w:pPr>
    </w:p>
    <w:p>
      <w:pPr>
        <w:ind w:firstLine="640"/>
        <w:rPr>
          <w:rFonts w:cs="Times New Roman"/>
          <w:color w:val="auto"/>
          <w:szCs w:val="32"/>
          <w:highlight w:val="none"/>
        </w:rPr>
      </w:pPr>
    </w:p>
    <w:p>
      <w:pPr>
        <w:ind w:firstLine="640"/>
        <w:rPr>
          <w:rFonts w:cs="Times New Roman"/>
          <w:color w:val="auto"/>
          <w:szCs w:val="32"/>
          <w:highlight w:val="none"/>
        </w:rPr>
        <w:sectPr>
          <w:footerReference r:id="rId13" w:type="default"/>
          <w:pgSz w:w="11906" w:h="16838"/>
          <w:pgMar w:top="1440" w:right="1800" w:bottom="1440" w:left="1800" w:header="851" w:footer="992" w:gutter="0"/>
          <w:cols w:space="425" w:num="1"/>
          <w:docGrid w:type="lines" w:linePitch="312" w:charSpace="0"/>
        </w:sectPr>
      </w:pPr>
    </w:p>
    <w:p>
      <w:pPr>
        <w:spacing w:before="156" w:beforeLines="50" w:after="156" w:afterLines="50"/>
        <w:ind w:firstLine="321" w:firstLineChars="100"/>
        <w:jc w:val="both"/>
        <w:rPr>
          <w:rFonts w:cs="Times New Roman"/>
          <w:b/>
          <w:bCs/>
          <w:color w:val="auto"/>
          <w:szCs w:val="32"/>
          <w:highlight w:val="none"/>
        </w:rPr>
      </w:pPr>
      <w:r>
        <w:rPr>
          <w:rFonts w:cs="Times New Roman"/>
          <w:b/>
          <w:bCs/>
          <w:color w:val="auto"/>
          <w:szCs w:val="32"/>
          <w:highlight w:val="none"/>
        </w:rPr>
        <w:t xml:space="preserve">表5.7-1  </w:t>
      </w:r>
      <w:r>
        <w:rPr>
          <w:rFonts w:hint="eastAsia" w:cs="Times New Roman"/>
          <w:b/>
          <w:bCs/>
          <w:color w:val="auto"/>
          <w:szCs w:val="32"/>
          <w:highlight w:val="none"/>
          <w:lang w:val="en-US" w:eastAsia="zh-CN"/>
        </w:rPr>
        <w:t xml:space="preserve">             </w:t>
      </w:r>
      <w:r>
        <w:rPr>
          <w:rFonts w:cs="Times New Roman"/>
          <w:b/>
          <w:bCs/>
          <w:color w:val="auto"/>
          <w:szCs w:val="32"/>
          <w:highlight w:val="none"/>
        </w:rPr>
        <w:t>本标准与国家及其他省份标准对比情况</w:t>
      </w:r>
    </w:p>
    <w:tbl>
      <w:tblPr>
        <w:tblStyle w:val="13"/>
        <w:tblW w:w="5034"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5"/>
        <w:gridCol w:w="1003"/>
        <w:gridCol w:w="800"/>
        <w:gridCol w:w="880"/>
        <w:gridCol w:w="950"/>
        <w:gridCol w:w="1100"/>
        <w:gridCol w:w="1070"/>
        <w:gridCol w:w="1039"/>
        <w:gridCol w:w="1129"/>
        <w:gridCol w:w="1000"/>
        <w:gridCol w:w="851"/>
        <w:gridCol w:w="777"/>
        <w:gridCol w:w="956"/>
        <w:gridCol w:w="1053"/>
        <w:gridCol w:w="10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blHeader/>
        </w:trPr>
        <w:tc>
          <w:tcPr>
            <w:tcW w:w="575" w:type="dxa"/>
            <w:vMerge w:val="restart"/>
            <w:tcBorders>
              <w:tl2br w:val="nil"/>
              <w:tr2bl w:val="nil"/>
            </w:tcBorders>
            <w:shd w:val="clear" w:color="auto" w:fill="auto"/>
            <w:noWrap/>
            <w:vAlign w:val="center"/>
          </w:tcPr>
          <w:p>
            <w:pPr>
              <w:widowControl/>
              <w:ind w:firstLine="0" w:firstLineChars="0"/>
              <w:jc w:val="center"/>
              <w:textAlignment w:val="center"/>
              <w:rPr>
                <w:rFonts w:cs="Times New Roman"/>
                <w:b/>
                <w:bCs/>
                <w:color w:val="auto"/>
                <w:sz w:val="16"/>
                <w:szCs w:val="16"/>
                <w:highlight w:val="none"/>
              </w:rPr>
            </w:pPr>
            <w:r>
              <w:rPr>
                <w:rFonts w:cs="Times New Roman"/>
                <w:b/>
                <w:bCs/>
                <w:color w:val="auto"/>
                <w:kern w:val="0"/>
                <w:sz w:val="16"/>
                <w:szCs w:val="16"/>
                <w:highlight w:val="none"/>
                <w:lang w:bidi="ar"/>
              </w:rPr>
              <w:t>序号</w:t>
            </w:r>
          </w:p>
        </w:tc>
        <w:tc>
          <w:tcPr>
            <w:tcW w:w="1003" w:type="dxa"/>
            <w:vMerge w:val="restart"/>
            <w:tcBorders>
              <w:tl2br w:val="nil"/>
              <w:tr2bl w:val="nil"/>
            </w:tcBorders>
            <w:shd w:val="clear" w:color="auto" w:fill="auto"/>
            <w:noWrap/>
            <w:vAlign w:val="center"/>
          </w:tcPr>
          <w:p>
            <w:pPr>
              <w:widowControl/>
              <w:ind w:firstLine="0" w:firstLineChars="0"/>
              <w:jc w:val="center"/>
              <w:textAlignment w:val="center"/>
              <w:rPr>
                <w:rFonts w:cs="Times New Roman"/>
                <w:b/>
                <w:bCs/>
                <w:color w:val="auto"/>
                <w:sz w:val="16"/>
                <w:szCs w:val="16"/>
                <w:highlight w:val="none"/>
              </w:rPr>
            </w:pPr>
            <w:r>
              <w:rPr>
                <w:rFonts w:cs="Times New Roman"/>
                <w:b/>
                <w:bCs/>
                <w:color w:val="auto"/>
                <w:kern w:val="0"/>
                <w:sz w:val="16"/>
                <w:szCs w:val="16"/>
                <w:highlight w:val="none"/>
                <w:lang w:bidi="ar"/>
              </w:rPr>
              <w:t>污染物项目</w:t>
            </w:r>
          </w:p>
        </w:tc>
        <w:tc>
          <w:tcPr>
            <w:tcW w:w="800" w:type="dxa"/>
            <w:vMerge w:val="restart"/>
            <w:tcBorders>
              <w:tl2br w:val="nil"/>
              <w:tr2bl w:val="nil"/>
            </w:tcBorders>
            <w:shd w:val="clear" w:color="auto" w:fill="auto"/>
            <w:noWrap/>
            <w:vAlign w:val="center"/>
          </w:tcPr>
          <w:p>
            <w:pPr>
              <w:widowControl/>
              <w:ind w:firstLine="0" w:firstLineChars="0"/>
              <w:jc w:val="center"/>
              <w:textAlignment w:val="center"/>
              <w:rPr>
                <w:rFonts w:cs="Times New Roman"/>
                <w:b/>
                <w:bCs/>
                <w:color w:val="auto"/>
                <w:sz w:val="16"/>
                <w:szCs w:val="16"/>
                <w:highlight w:val="none"/>
              </w:rPr>
            </w:pPr>
            <w:r>
              <w:rPr>
                <w:rFonts w:cs="Times New Roman"/>
                <w:b/>
                <w:bCs/>
                <w:color w:val="auto"/>
                <w:kern w:val="0"/>
                <w:sz w:val="16"/>
                <w:szCs w:val="16"/>
                <w:highlight w:val="none"/>
                <w:lang w:bidi="ar"/>
              </w:rPr>
              <w:t>取值时间</w:t>
            </w:r>
          </w:p>
        </w:tc>
        <w:tc>
          <w:tcPr>
            <w:tcW w:w="880" w:type="dxa"/>
            <w:vMerge w:val="restart"/>
            <w:tcBorders>
              <w:tl2br w:val="nil"/>
              <w:tr2bl w:val="nil"/>
            </w:tcBorders>
            <w:shd w:val="clear" w:color="auto" w:fill="FFFFFF"/>
            <w:vAlign w:val="center"/>
          </w:tcPr>
          <w:p>
            <w:pPr>
              <w:widowControl/>
              <w:ind w:firstLine="0" w:firstLineChars="0"/>
              <w:jc w:val="center"/>
              <w:textAlignment w:val="center"/>
              <w:rPr>
                <w:rFonts w:cs="Times New Roman"/>
                <w:b/>
                <w:bCs/>
                <w:color w:val="auto"/>
                <w:kern w:val="0"/>
                <w:sz w:val="16"/>
                <w:szCs w:val="16"/>
                <w:highlight w:val="none"/>
                <w:lang w:bidi="ar"/>
              </w:rPr>
            </w:pPr>
            <w:r>
              <w:rPr>
                <w:rFonts w:cs="Times New Roman"/>
                <w:b/>
                <w:bCs/>
                <w:color w:val="auto"/>
                <w:kern w:val="0"/>
                <w:sz w:val="16"/>
                <w:szCs w:val="16"/>
                <w:highlight w:val="none"/>
                <w:lang w:bidi="ar"/>
              </w:rPr>
              <w:t>本标准</w:t>
            </w:r>
          </w:p>
        </w:tc>
        <w:tc>
          <w:tcPr>
            <w:tcW w:w="950" w:type="dxa"/>
            <w:vMerge w:val="restart"/>
            <w:tcBorders>
              <w:tl2br w:val="nil"/>
              <w:tr2bl w:val="nil"/>
            </w:tcBorders>
            <w:shd w:val="clear" w:color="auto" w:fill="FFFFFF"/>
            <w:vAlign w:val="center"/>
          </w:tcPr>
          <w:p>
            <w:pPr>
              <w:widowControl/>
              <w:ind w:firstLine="0" w:firstLineChars="0"/>
              <w:jc w:val="center"/>
              <w:textAlignment w:val="center"/>
              <w:rPr>
                <w:rFonts w:cs="Times New Roman"/>
                <w:b/>
                <w:bCs/>
                <w:color w:val="auto"/>
                <w:sz w:val="16"/>
                <w:szCs w:val="16"/>
                <w:highlight w:val="none"/>
              </w:rPr>
            </w:pPr>
            <w:r>
              <w:rPr>
                <w:rFonts w:cs="Times New Roman"/>
                <w:b/>
                <w:bCs/>
                <w:color w:val="auto"/>
                <w:kern w:val="0"/>
                <w:sz w:val="16"/>
                <w:szCs w:val="16"/>
                <w:highlight w:val="none"/>
                <w:lang w:bidi="ar"/>
              </w:rPr>
              <w:t>《生活垃圾焚烧污染控制标准》（</w:t>
            </w:r>
            <w:r>
              <w:rPr>
                <w:rFonts w:cs="Times New Roman"/>
                <w:b/>
                <w:bCs/>
                <w:color w:val="auto"/>
                <w:sz w:val="16"/>
                <w:szCs w:val="16"/>
                <w:highlight w:val="none"/>
                <w:lang w:bidi="ar"/>
              </w:rPr>
              <w:t>GB18485-2014</w:t>
            </w:r>
            <w:r>
              <w:rPr>
                <w:rFonts w:cs="Times New Roman"/>
                <w:b/>
                <w:bCs/>
                <w:color w:val="auto"/>
                <w:kern w:val="0"/>
                <w:sz w:val="16"/>
                <w:szCs w:val="16"/>
                <w:highlight w:val="none"/>
                <w:lang w:bidi="ar"/>
              </w:rPr>
              <w:t>）</w:t>
            </w:r>
          </w:p>
        </w:tc>
        <w:tc>
          <w:tcPr>
            <w:tcW w:w="1100" w:type="dxa"/>
            <w:vMerge w:val="restart"/>
            <w:tcBorders>
              <w:tl2br w:val="nil"/>
              <w:tr2bl w:val="nil"/>
            </w:tcBorders>
            <w:shd w:val="clear" w:color="auto" w:fill="auto"/>
            <w:vAlign w:val="center"/>
          </w:tcPr>
          <w:p>
            <w:pPr>
              <w:widowControl/>
              <w:ind w:firstLine="0" w:firstLineChars="0"/>
              <w:jc w:val="center"/>
              <w:textAlignment w:val="center"/>
              <w:rPr>
                <w:rFonts w:cs="Times New Roman"/>
                <w:b/>
                <w:bCs/>
                <w:color w:val="auto"/>
                <w:sz w:val="16"/>
                <w:szCs w:val="16"/>
                <w:highlight w:val="none"/>
              </w:rPr>
            </w:pPr>
            <w:r>
              <w:rPr>
                <w:rFonts w:cs="Times New Roman"/>
                <w:b/>
                <w:bCs/>
                <w:color w:val="auto"/>
                <w:kern w:val="0"/>
                <w:sz w:val="16"/>
                <w:szCs w:val="16"/>
                <w:highlight w:val="none"/>
                <w:lang w:bidi="ar"/>
              </w:rPr>
              <w:t>河北省《生活垃圾焚烧大气污染控制标准》（</w:t>
            </w:r>
            <w:r>
              <w:rPr>
                <w:rFonts w:cs="Times New Roman"/>
                <w:b/>
                <w:bCs/>
                <w:color w:val="auto"/>
                <w:sz w:val="16"/>
                <w:szCs w:val="16"/>
                <w:highlight w:val="none"/>
                <w:lang w:bidi="ar"/>
              </w:rPr>
              <w:t>DB13/ 5325-2021</w:t>
            </w:r>
            <w:r>
              <w:rPr>
                <w:rFonts w:cs="Times New Roman"/>
                <w:b/>
                <w:bCs/>
                <w:color w:val="auto"/>
                <w:kern w:val="0"/>
                <w:sz w:val="16"/>
                <w:szCs w:val="16"/>
                <w:highlight w:val="none"/>
                <w:lang w:bidi="ar"/>
              </w:rPr>
              <w:t>）</w:t>
            </w:r>
          </w:p>
        </w:tc>
        <w:tc>
          <w:tcPr>
            <w:tcW w:w="1070" w:type="dxa"/>
            <w:vMerge w:val="restart"/>
            <w:tcBorders>
              <w:tl2br w:val="nil"/>
              <w:tr2bl w:val="nil"/>
            </w:tcBorders>
            <w:shd w:val="clear" w:color="auto" w:fill="auto"/>
            <w:vAlign w:val="center"/>
          </w:tcPr>
          <w:p>
            <w:pPr>
              <w:widowControl/>
              <w:ind w:firstLine="0" w:firstLineChars="0"/>
              <w:jc w:val="center"/>
              <w:textAlignment w:val="center"/>
              <w:rPr>
                <w:rFonts w:cs="Times New Roman"/>
                <w:b/>
                <w:bCs/>
                <w:color w:val="auto"/>
                <w:sz w:val="16"/>
                <w:szCs w:val="16"/>
                <w:highlight w:val="none"/>
              </w:rPr>
            </w:pPr>
            <w:r>
              <w:rPr>
                <w:rFonts w:cs="Times New Roman"/>
                <w:b/>
                <w:bCs/>
                <w:color w:val="auto"/>
                <w:kern w:val="0"/>
                <w:sz w:val="16"/>
                <w:szCs w:val="16"/>
                <w:highlight w:val="none"/>
                <w:lang w:bidi="ar"/>
              </w:rPr>
              <w:t>海南省《生活垃圾焚烧污染控制标准》（</w:t>
            </w:r>
            <w:r>
              <w:rPr>
                <w:rFonts w:cs="Times New Roman"/>
                <w:b/>
                <w:bCs/>
                <w:color w:val="auto"/>
                <w:sz w:val="16"/>
                <w:szCs w:val="16"/>
                <w:highlight w:val="none"/>
                <w:lang w:bidi="ar"/>
              </w:rPr>
              <w:t>DB46/484-2019</w:t>
            </w:r>
            <w:r>
              <w:rPr>
                <w:rFonts w:cs="Times New Roman"/>
                <w:b/>
                <w:bCs/>
                <w:color w:val="auto"/>
                <w:kern w:val="0"/>
                <w:sz w:val="16"/>
                <w:szCs w:val="16"/>
                <w:highlight w:val="none"/>
                <w:lang w:bidi="ar"/>
              </w:rPr>
              <w:t>）</w:t>
            </w:r>
          </w:p>
        </w:tc>
        <w:tc>
          <w:tcPr>
            <w:tcW w:w="2168" w:type="dxa"/>
            <w:gridSpan w:val="2"/>
            <w:tcBorders>
              <w:tl2br w:val="nil"/>
              <w:tr2bl w:val="nil"/>
            </w:tcBorders>
            <w:shd w:val="clear" w:color="auto" w:fill="auto"/>
            <w:vAlign w:val="center"/>
          </w:tcPr>
          <w:p>
            <w:pPr>
              <w:widowControl/>
              <w:ind w:firstLine="0" w:firstLineChars="0"/>
              <w:jc w:val="center"/>
              <w:textAlignment w:val="center"/>
              <w:rPr>
                <w:rFonts w:cs="Times New Roman"/>
                <w:b/>
                <w:bCs/>
                <w:color w:val="auto"/>
                <w:sz w:val="16"/>
                <w:szCs w:val="16"/>
                <w:highlight w:val="none"/>
              </w:rPr>
            </w:pPr>
            <w:r>
              <w:rPr>
                <w:rFonts w:cs="Times New Roman"/>
                <w:b/>
                <w:bCs/>
                <w:color w:val="auto"/>
                <w:kern w:val="0"/>
                <w:sz w:val="16"/>
                <w:szCs w:val="16"/>
                <w:highlight w:val="none"/>
                <w:lang w:bidi="ar"/>
              </w:rPr>
              <w:t>《上海市生活垃圾焚烧大气污染物排放标准》（</w:t>
            </w:r>
            <w:r>
              <w:rPr>
                <w:rFonts w:cs="Times New Roman"/>
                <w:b/>
                <w:bCs/>
                <w:color w:val="auto"/>
                <w:sz w:val="16"/>
                <w:szCs w:val="16"/>
                <w:highlight w:val="none"/>
                <w:lang w:bidi="ar"/>
              </w:rPr>
              <w:t>DB31/768-2013</w:t>
            </w:r>
            <w:r>
              <w:rPr>
                <w:rFonts w:cs="Times New Roman"/>
                <w:b/>
                <w:bCs/>
                <w:color w:val="auto"/>
                <w:kern w:val="0"/>
                <w:sz w:val="16"/>
                <w:szCs w:val="16"/>
                <w:highlight w:val="none"/>
                <w:lang w:bidi="ar"/>
              </w:rPr>
              <w:t>）</w:t>
            </w:r>
          </w:p>
        </w:tc>
        <w:tc>
          <w:tcPr>
            <w:tcW w:w="1000" w:type="dxa"/>
            <w:vMerge w:val="restart"/>
            <w:tcBorders>
              <w:tl2br w:val="nil"/>
              <w:tr2bl w:val="nil"/>
            </w:tcBorders>
            <w:shd w:val="clear" w:color="auto" w:fill="auto"/>
            <w:vAlign w:val="center"/>
          </w:tcPr>
          <w:p>
            <w:pPr>
              <w:widowControl/>
              <w:ind w:firstLine="0" w:firstLineChars="0"/>
              <w:jc w:val="center"/>
              <w:textAlignment w:val="center"/>
              <w:rPr>
                <w:rFonts w:cs="Times New Roman"/>
                <w:b/>
                <w:bCs/>
                <w:color w:val="auto"/>
                <w:sz w:val="16"/>
                <w:szCs w:val="16"/>
                <w:highlight w:val="none"/>
              </w:rPr>
            </w:pPr>
            <w:r>
              <w:rPr>
                <w:rFonts w:cs="Times New Roman"/>
                <w:b/>
                <w:bCs/>
                <w:color w:val="auto"/>
                <w:kern w:val="0"/>
                <w:sz w:val="16"/>
                <w:szCs w:val="16"/>
                <w:highlight w:val="none"/>
                <w:lang w:bidi="ar"/>
              </w:rPr>
              <w:t>福建省《生活垃圾焚烧氮氧化物排放标准》（</w:t>
            </w:r>
            <w:r>
              <w:rPr>
                <w:rFonts w:cs="Times New Roman"/>
                <w:b/>
                <w:bCs/>
                <w:color w:val="auto"/>
                <w:sz w:val="16"/>
                <w:szCs w:val="16"/>
                <w:highlight w:val="none"/>
                <w:lang w:bidi="ar"/>
              </w:rPr>
              <w:t>DB35/1976-2021</w:t>
            </w:r>
            <w:r>
              <w:rPr>
                <w:rFonts w:cs="Times New Roman"/>
                <w:b/>
                <w:bCs/>
                <w:color w:val="auto"/>
                <w:kern w:val="0"/>
                <w:sz w:val="16"/>
                <w:szCs w:val="16"/>
                <w:highlight w:val="none"/>
                <w:lang w:bidi="ar"/>
              </w:rPr>
              <w:t>）</w:t>
            </w:r>
          </w:p>
        </w:tc>
        <w:tc>
          <w:tcPr>
            <w:tcW w:w="1628" w:type="dxa"/>
            <w:gridSpan w:val="2"/>
            <w:tcBorders>
              <w:tl2br w:val="nil"/>
              <w:tr2bl w:val="nil"/>
            </w:tcBorders>
            <w:shd w:val="clear" w:color="auto" w:fill="auto"/>
            <w:vAlign w:val="center"/>
          </w:tcPr>
          <w:p>
            <w:pPr>
              <w:widowControl/>
              <w:ind w:firstLine="0" w:firstLineChars="0"/>
              <w:jc w:val="center"/>
              <w:textAlignment w:val="center"/>
              <w:rPr>
                <w:rFonts w:cs="Times New Roman"/>
                <w:b/>
                <w:bCs/>
                <w:color w:val="auto"/>
                <w:sz w:val="16"/>
                <w:szCs w:val="16"/>
                <w:highlight w:val="none"/>
                <w:lang w:bidi="ar"/>
              </w:rPr>
            </w:pPr>
            <w:r>
              <w:rPr>
                <w:rFonts w:cs="Times New Roman"/>
                <w:b/>
                <w:bCs/>
                <w:color w:val="auto"/>
                <w:kern w:val="0"/>
                <w:sz w:val="16"/>
                <w:szCs w:val="16"/>
                <w:highlight w:val="none"/>
                <w:lang w:bidi="ar"/>
              </w:rPr>
              <w:t>《深圳市生活垃圾处理设施运营规范》（</w:t>
            </w:r>
            <w:r>
              <w:rPr>
                <w:rFonts w:cs="Times New Roman"/>
                <w:b/>
                <w:bCs/>
                <w:color w:val="auto"/>
                <w:sz w:val="16"/>
                <w:szCs w:val="16"/>
                <w:highlight w:val="none"/>
                <w:lang w:bidi="ar"/>
              </w:rPr>
              <w:t>SZDB/Z</w:t>
            </w:r>
          </w:p>
          <w:p>
            <w:pPr>
              <w:widowControl/>
              <w:ind w:firstLine="0" w:firstLineChars="0"/>
              <w:jc w:val="center"/>
              <w:textAlignment w:val="center"/>
              <w:rPr>
                <w:rFonts w:cs="Times New Roman"/>
                <w:b/>
                <w:bCs/>
                <w:color w:val="auto"/>
                <w:sz w:val="16"/>
                <w:szCs w:val="16"/>
                <w:highlight w:val="none"/>
              </w:rPr>
            </w:pPr>
            <w:r>
              <w:rPr>
                <w:rFonts w:cs="Times New Roman"/>
                <w:b/>
                <w:bCs/>
                <w:color w:val="auto"/>
                <w:sz w:val="16"/>
                <w:szCs w:val="16"/>
                <w:highlight w:val="none"/>
                <w:lang w:bidi="ar"/>
              </w:rPr>
              <w:t>233-2017</w:t>
            </w:r>
            <w:r>
              <w:rPr>
                <w:rFonts w:cs="Times New Roman"/>
                <w:b/>
                <w:bCs/>
                <w:color w:val="auto"/>
                <w:kern w:val="0"/>
                <w:sz w:val="16"/>
                <w:szCs w:val="16"/>
                <w:highlight w:val="none"/>
                <w:lang w:bidi="ar"/>
              </w:rPr>
              <w:t>）</w:t>
            </w:r>
          </w:p>
        </w:tc>
        <w:tc>
          <w:tcPr>
            <w:tcW w:w="956" w:type="dxa"/>
            <w:vMerge w:val="restart"/>
            <w:tcBorders>
              <w:tl2br w:val="nil"/>
              <w:tr2bl w:val="nil"/>
            </w:tcBorders>
            <w:shd w:val="clear" w:color="auto" w:fill="FFFFFF"/>
            <w:vAlign w:val="center"/>
          </w:tcPr>
          <w:p>
            <w:pPr>
              <w:widowControl/>
              <w:ind w:firstLine="0" w:firstLineChars="0"/>
              <w:jc w:val="center"/>
              <w:textAlignment w:val="center"/>
              <w:rPr>
                <w:rFonts w:cs="Times New Roman"/>
                <w:b/>
                <w:bCs/>
                <w:color w:val="auto"/>
                <w:kern w:val="0"/>
                <w:sz w:val="16"/>
                <w:szCs w:val="16"/>
                <w:highlight w:val="none"/>
                <w:lang w:bidi="ar"/>
              </w:rPr>
            </w:pPr>
            <w:r>
              <w:rPr>
                <w:rFonts w:cs="Times New Roman"/>
                <w:b/>
                <w:bCs/>
                <w:color w:val="auto"/>
                <w:sz w:val="16"/>
                <w:szCs w:val="16"/>
                <w:highlight w:val="none"/>
              </w:rPr>
              <w:t>天津市《生活垃圾焚烧大气污染物排放标准》（DB12/1101-2021)</w:t>
            </w:r>
          </w:p>
        </w:tc>
        <w:tc>
          <w:tcPr>
            <w:tcW w:w="1053" w:type="dxa"/>
            <w:vMerge w:val="restart"/>
            <w:tcBorders>
              <w:tl2br w:val="nil"/>
              <w:tr2bl w:val="nil"/>
            </w:tcBorders>
            <w:shd w:val="clear" w:color="auto" w:fill="FFFFFF"/>
            <w:vAlign w:val="center"/>
          </w:tcPr>
          <w:p>
            <w:pPr>
              <w:widowControl/>
              <w:ind w:firstLine="0" w:firstLineChars="0"/>
              <w:jc w:val="center"/>
              <w:textAlignment w:val="center"/>
              <w:rPr>
                <w:rFonts w:cs="Times New Roman"/>
                <w:b/>
                <w:bCs/>
                <w:color w:val="auto"/>
                <w:sz w:val="16"/>
                <w:szCs w:val="16"/>
                <w:highlight w:val="none"/>
              </w:rPr>
            </w:pPr>
            <w:r>
              <w:rPr>
                <w:rFonts w:cs="Times New Roman"/>
                <w:b/>
                <w:bCs/>
                <w:color w:val="auto"/>
                <w:kern w:val="0"/>
                <w:sz w:val="16"/>
                <w:szCs w:val="16"/>
                <w:highlight w:val="none"/>
                <w:lang w:bidi="ar"/>
              </w:rPr>
              <w:t>山东省《生活垃圾和危险废物焚烧大气污染物排放标准》（征求意见稿）</w:t>
            </w:r>
          </w:p>
        </w:tc>
        <w:tc>
          <w:tcPr>
            <w:tcW w:w="1090" w:type="dxa"/>
            <w:vMerge w:val="restart"/>
            <w:tcBorders>
              <w:tl2br w:val="nil"/>
              <w:tr2bl w:val="nil"/>
            </w:tcBorders>
            <w:shd w:val="clear" w:color="auto" w:fill="FFFFFF"/>
            <w:vAlign w:val="center"/>
          </w:tcPr>
          <w:p>
            <w:pPr>
              <w:widowControl/>
              <w:ind w:firstLine="0" w:firstLineChars="0"/>
              <w:jc w:val="center"/>
              <w:textAlignment w:val="center"/>
              <w:rPr>
                <w:rFonts w:cs="Times New Roman"/>
                <w:b/>
                <w:bCs/>
                <w:color w:val="auto"/>
                <w:sz w:val="16"/>
                <w:szCs w:val="16"/>
                <w:highlight w:val="none"/>
              </w:rPr>
            </w:pPr>
            <w:r>
              <w:rPr>
                <w:rFonts w:cs="Times New Roman"/>
                <w:b/>
                <w:bCs/>
                <w:color w:val="auto"/>
                <w:kern w:val="0"/>
                <w:sz w:val="16"/>
                <w:szCs w:val="16"/>
                <w:highlight w:val="none"/>
                <w:lang w:bidi="ar"/>
              </w:rPr>
              <w:t>江苏省《生活垃圾焚烧大气污染物排放标准（</w:t>
            </w:r>
            <w:r>
              <w:rPr>
                <w:rFonts w:hint="eastAsia" w:cs="Times New Roman"/>
                <w:b/>
                <w:bCs/>
                <w:color w:val="auto"/>
                <w:kern w:val="0"/>
                <w:sz w:val="16"/>
                <w:szCs w:val="16"/>
                <w:highlight w:val="none"/>
                <w:lang w:val="en-US" w:eastAsia="zh-CN" w:bidi="ar"/>
              </w:rPr>
              <w:t>二次</w:t>
            </w:r>
            <w:r>
              <w:rPr>
                <w:rFonts w:cs="Times New Roman"/>
                <w:b/>
                <w:bCs/>
                <w:color w:val="auto"/>
                <w:kern w:val="0"/>
                <w:sz w:val="16"/>
                <w:szCs w:val="16"/>
                <w:highlight w:val="none"/>
                <w:lang w:bidi="ar"/>
              </w:rPr>
              <w:t>征求意见稿）》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blHeader/>
        </w:trPr>
        <w:tc>
          <w:tcPr>
            <w:tcW w:w="575" w:type="dxa"/>
            <w:vMerge w:val="continue"/>
            <w:tcBorders>
              <w:tl2br w:val="nil"/>
              <w:tr2bl w:val="nil"/>
            </w:tcBorders>
            <w:shd w:val="clear" w:color="auto" w:fill="auto"/>
            <w:noWrap/>
            <w:vAlign w:val="center"/>
          </w:tcPr>
          <w:p>
            <w:pPr>
              <w:ind w:firstLine="0" w:firstLineChars="0"/>
              <w:jc w:val="center"/>
              <w:rPr>
                <w:rFonts w:cs="Times New Roman"/>
                <w:color w:val="auto"/>
                <w:sz w:val="18"/>
                <w:szCs w:val="18"/>
                <w:highlight w:val="none"/>
              </w:rPr>
            </w:pPr>
          </w:p>
        </w:tc>
        <w:tc>
          <w:tcPr>
            <w:tcW w:w="1003" w:type="dxa"/>
            <w:vMerge w:val="continue"/>
            <w:tcBorders>
              <w:tl2br w:val="nil"/>
              <w:tr2bl w:val="nil"/>
            </w:tcBorders>
            <w:shd w:val="clear" w:color="auto" w:fill="auto"/>
            <w:noWrap/>
            <w:vAlign w:val="center"/>
          </w:tcPr>
          <w:p>
            <w:pPr>
              <w:ind w:firstLine="0" w:firstLineChars="0"/>
              <w:jc w:val="center"/>
              <w:rPr>
                <w:rFonts w:cs="Times New Roman"/>
                <w:color w:val="auto"/>
                <w:sz w:val="18"/>
                <w:szCs w:val="18"/>
                <w:highlight w:val="none"/>
              </w:rPr>
            </w:pPr>
          </w:p>
        </w:tc>
        <w:tc>
          <w:tcPr>
            <w:tcW w:w="800" w:type="dxa"/>
            <w:vMerge w:val="continue"/>
            <w:tcBorders>
              <w:tl2br w:val="nil"/>
              <w:tr2bl w:val="nil"/>
            </w:tcBorders>
            <w:shd w:val="clear" w:color="auto" w:fill="auto"/>
            <w:noWrap/>
            <w:vAlign w:val="center"/>
          </w:tcPr>
          <w:p>
            <w:pPr>
              <w:ind w:firstLine="0" w:firstLineChars="0"/>
              <w:jc w:val="center"/>
              <w:rPr>
                <w:rFonts w:cs="Times New Roman"/>
                <w:color w:val="auto"/>
                <w:sz w:val="18"/>
                <w:szCs w:val="18"/>
                <w:highlight w:val="none"/>
              </w:rPr>
            </w:pPr>
          </w:p>
        </w:tc>
        <w:tc>
          <w:tcPr>
            <w:tcW w:w="880" w:type="dxa"/>
            <w:vMerge w:val="continue"/>
            <w:tcBorders>
              <w:tl2br w:val="nil"/>
              <w:tr2bl w:val="nil"/>
            </w:tcBorders>
            <w:shd w:val="clear" w:color="auto" w:fill="FFFFFF"/>
            <w:vAlign w:val="center"/>
          </w:tcPr>
          <w:p>
            <w:pPr>
              <w:ind w:firstLine="0" w:firstLineChars="0"/>
              <w:jc w:val="center"/>
              <w:rPr>
                <w:rFonts w:cs="Times New Roman"/>
                <w:b/>
                <w:bCs/>
                <w:color w:val="auto"/>
                <w:sz w:val="18"/>
                <w:szCs w:val="18"/>
                <w:highlight w:val="none"/>
              </w:rPr>
            </w:pPr>
          </w:p>
        </w:tc>
        <w:tc>
          <w:tcPr>
            <w:tcW w:w="950" w:type="dxa"/>
            <w:vMerge w:val="continue"/>
            <w:tcBorders>
              <w:tl2br w:val="nil"/>
              <w:tr2bl w:val="nil"/>
            </w:tcBorders>
            <w:shd w:val="clear" w:color="auto" w:fill="FFFFFF"/>
            <w:vAlign w:val="center"/>
          </w:tcPr>
          <w:p>
            <w:pPr>
              <w:ind w:firstLine="0" w:firstLineChars="0"/>
              <w:jc w:val="center"/>
              <w:rPr>
                <w:rFonts w:cs="Times New Roman"/>
                <w:b/>
                <w:bCs/>
                <w:color w:val="auto"/>
                <w:sz w:val="18"/>
                <w:szCs w:val="18"/>
                <w:highlight w:val="none"/>
              </w:rPr>
            </w:pPr>
          </w:p>
        </w:tc>
        <w:tc>
          <w:tcPr>
            <w:tcW w:w="1100" w:type="dxa"/>
            <w:vMerge w:val="continue"/>
            <w:tcBorders>
              <w:tl2br w:val="nil"/>
              <w:tr2bl w:val="nil"/>
            </w:tcBorders>
            <w:shd w:val="clear" w:color="auto" w:fill="auto"/>
            <w:vAlign w:val="center"/>
          </w:tcPr>
          <w:p>
            <w:pPr>
              <w:ind w:firstLine="0" w:firstLineChars="0"/>
              <w:jc w:val="center"/>
              <w:rPr>
                <w:rFonts w:cs="Times New Roman"/>
                <w:b/>
                <w:bCs/>
                <w:color w:val="auto"/>
                <w:sz w:val="18"/>
                <w:szCs w:val="18"/>
                <w:highlight w:val="none"/>
              </w:rPr>
            </w:pPr>
          </w:p>
        </w:tc>
        <w:tc>
          <w:tcPr>
            <w:tcW w:w="1070" w:type="dxa"/>
            <w:vMerge w:val="continue"/>
            <w:tcBorders>
              <w:tl2br w:val="nil"/>
              <w:tr2bl w:val="nil"/>
            </w:tcBorders>
            <w:shd w:val="clear" w:color="auto" w:fill="auto"/>
            <w:vAlign w:val="center"/>
          </w:tcPr>
          <w:p>
            <w:pPr>
              <w:ind w:firstLine="0" w:firstLineChars="0"/>
              <w:jc w:val="center"/>
              <w:rPr>
                <w:rFonts w:cs="Times New Roman"/>
                <w:b/>
                <w:bCs/>
                <w:color w:val="auto"/>
                <w:sz w:val="18"/>
                <w:szCs w:val="18"/>
                <w:highlight w:val="none"/>
              </w:rPr>
            </w:pP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b/>
                <w:bCs/>
                <w:color w:val="auto"/>
                <w:sz w:val="18"/>
                <w:szCs w:val="18"/>
                <w:highlight w:val="none"/>
              </w:rPr>
            </w:pPr>
            <w:r>
              <w:rPr>
                <w:rFonts w:cs="Times New Roman"/>
                <w:b/>
                <w:bCs/>
                <w:color w:val="auto"/>
                <w:sz w:val="16"/>
                <w:szCs w:val="16"/>
                <w:highlight w:val="none"/>
                <w:lang w:bidi="ar"/>
              </w:rPr>
              <w:t>现有生活垃圾焚烧大气污染物排放限值</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b/>
                <w:bCs/>
                <w:color w:val="auto"/>
                <w:sz w:val="18"/>
                <w:szCs w:val="18"/>
                <w:highlight w:val="none"/>
              </w:rPr>
            </w:pPr>
            <w:r>
              <w:rPr>
                <w:rFonts w:cs="Times New Roman"/>
                <w:b/>
                <w:bCs/>
                <w:color w:val="auto"/>
                <w:sz w:val="16"/>
                <w:szCs w:val="16"/>
                <w:highlight w:val="none"/>
                <w:lang w:bidi="ar"/>
              </w:rPr>
              <w:t>新建生活垃圾焚烧大气污染物排放限值</w:t>
            </w:r>
          </w:p>
        </w:tc>
        <w:tc>
          <w:tcPr>
            <w:tcW w:w="1000" w:type="dxa"/>
            <w:vMerge w:val="continue"/>
            <w:tcBorders>
              <w:tl2br w:val="nil"/>
              <w:tr2bl w:val="nil"/>
            </w:tcBorders>
            <w:shd w:val="clear" w:color="auto" w:fill="auto"/>
            <w:vAlign w:val="center"/>
          </w:tcPr>
          <w:p>
            <w:pPr>
              <w:ind w:firstLine="0" w:firstLineChars="0"/>
              <w:jc w:val="center"/>
              <w:rPr>
                <w:rFonts w:cs="Times New Roman"/>
                <w:b/>
                <w:bCs/>
                <w:color w:val="auto"/>
                <w:sz w:val="18"/>
                <w:szCs w:val="18"/>
                <w:highlight w:val="none"/>
              </w:rPr>
            </w:pP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b/>
                <w:bCs/>
                <w:color w:val="auto"/>
                <w:sz w:val="18"/>
                <w:szCs w:val="18"/>
                <w:highlight w:val="none"/>
              </w:rPr>
            </w:pPr>
            <w:r>
              <w:rPr>
                <w:rFonts w:cs="Times New Roman"/>
                <w:b/>
                <w:bCs/>
                <w:color w:val="auto"/>
                <w:kern w:val="0"/>
                <w:sz w:val="16"/>
                <w:szCs w:val="16"/>
                <w:highlight w:val="none"/>
                <w:lang w:bidi="ar"/>
              </w:rPr>
              <w:t>深圳市新建设施</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b/>
                <w:bCs/>
                <w:color w:val="auto"/>
                <w:sz w:val="18"/>
                <w:szCs w:val="18"/>
                <w:highlight w:val="none"/>
              </w:rPr>
            </w:pPr>
            <w:r>
              <w:rPr>
                <w:rFonts w:cs="Times New Roman"/>
                <w:b/>
                <w:bCs/>
                <w:color w:val="auto"/>
                <w:kern w:val="0"/>
                <w:sz w:val="16"/>
                <w:szCs w:val="16"/>
                <w:highlight w:val="none"/>
                <w:lang w:bidi="ar"/>
              </w:rPr>
              <w:t>深圳市现有设施</w:t>
            </w:r>
          </w:p>
        </w:tc>
        <w:tc>
          <w:tcPr>
            <w:tcW w:w="956" w:type="dxa"/>
            <w:vMerge w:val="continue"/>
            <w:tcBorders>
              <w:tl2br w:val="nil"/>
              <w:tr2bl w:val="nil"/>
            </w:tcBorders>
            <w:shd w:val="clear" w:color="auto" w:fill="FFFFFF"/>
            <w:vAlign w:val="center"/>
          </w:tcPr>
          <w:p>
            <w:pPr>
              <w:ind w:firstLine="0" w:firstLineChars="0"/>
              <w:jc w:val="center"/>
              <w:rPr>
                <w:rFonts w:cs="Times New Roman"/>
                <w:b/>
                <w:bCs/>
                <w:color w:val="auto"/>
                <w:sz w:val="18"/>
                <w:szCs w:val="18"/>
                <w:highlight w:val="none"/>
              </w:rPr>
            </w:pPr>
          </w:p>
        </w:tc>
        <w:tc>
          <w:tcPr>
            <w:tcW w:w="1053" w:type="dxa"/>
            <w:vMerge w:val="continue"/>
            <w:tcBorders>
              <w:tl2br w:val="nil"/>
              <w:tr2bl w:val="nil"/>
            </w:tcBorders>
            <w:shd w:val="clear" w:color="auto" w:fill="FFFFFF"/>
            <w:vAlign w:val="center"/>
          </w:tcPr>
          <w:p>
            <w:pPr>
              <w:ind w:firstLine="0" w:firstLineChars="0"/>
              <w:jc w:val="center"/>
              <w:rPr>
                <w:rFonts w:cs="Times New Roman"/>
                <w:b/>
                <w:bCs/>
                <w:color w:val="auto"/>
                <w:sz w:val="18"/>
                <w:szCs w:val="18"/>
                <w:highlight w:val="none"/>
              </w:rPr>
            </w:pPr>
          </w:p>
        </w:tc>
        <w:tc>
          <w:tcPr>
            <w:tcW w:w="1090" w:type="dxa"/>
            <w:vMerge w:val="continue"/>
            <w:tcBorders>
              <w:tl2br w:val="nil"/>
              <w:tr2bl w:val="nil"/>
            </w:tcBorders>
            <w:shd w:val="clear" w:color="auto" w:fill="FFFFFF"/>
            <w:vAlign w:val="center"/>
          </w:tcPr>
          <w:p>
            <w:pPr>
              <w:ind w:firstLine="0" w:firstLineChars="0"/>
              <w:jc w:val="center"/>
              <w:rPr>
                <w:rFonts w:cs="Times New Roman"/>
                <w:b/>
                <w:bCs/>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vMerge w:val="restart"/>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w:t>
            </w:r>
          </w:p>
        </w:tc>
        <w:tc>
          <w:tcPr>
            <w:tcW w:w="1003" w:type="dxa"/>
            <w:vMerge w:val="restart"/>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颗粒物</w:t>
            </w:r>
          </w:p>
        </w:tc>
        <w:tc>
          <w:tcPr>
            <w:tcW w:w="8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sz w:val="18"/>
                <w:szCs w:val="18"/>
                <w:highlight w:val="none"/>
                <w:lang w:bidi="ar"/>
              </w:rPr>
              <w:t>1</w:t>
            </w:r>
            <w:r>
              <w:rPr>
                <w:rFonts w:cs="Times New Roman"/>
                <w:color w:val="auto"/>
                <w:kern w:val="0"/>
                <w:sz w:val="18"/>
                <w:szCs w:val="18"/>
                <w:highlight w:val="none"/>
                <w:lang w:bidi="ar"/>
              </w:rPr>
              <w:t>小时均值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lang w:bidi="ar"/>
              </w:rPr>
            </w:pPr>
            <w:r>
              <w:rPr>
                <w:rFonts w:cs="Times New Roman"/>
                <w:color w:val="auto"/>
                <w:sz w:val="18"/>
                <w:szCs w:val="18"/>
                <w:highlight w:val="none"/>
                <w:lang w:bidi="ar"/>
              </w:rPr>
              <w:t>10</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30</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1039" w:type="dxa"/>
            <w:tcBorders>
              <w:tl2br w:val="nil"/>
              <w:tr2bl w:val="nil"/>
            </w:tcBorders>
            <w:shd w:val="clear" w:color="auto" w:fill="auto"/>
            <w:noWrap/>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测定均值</w:t>
            </w:r>
          </w:p>
        </w:tc>
        <w:tc>
          <w:tcPr>
            <w:tcW w:w="1129" w:type="dxa"/>
            <w:tcBorders>
              <w:tl2br w:val="nil"/>
              <w:tr2bl w:val="nil"/>
            </w:tcBorders>
            <w:shd w:val="clear" w:color="auto" w:fill="auto"/>
            <w:noWrap/>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测定均值</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30</w:t>
            </w:r>
          </w:p>
        </w:tc>
        <w:tc>
          <w:tcPr>
            <w:tcW w:w="956"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1053"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109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vMerge w:val="continue"/>
            <w:tcBorders>
              <w:tl2br w:val="nil"/>
              <w:tr2bl w:val="nil"/>
            </w:tcBorders>
            <w:shd w:val="clear" w:color="auto" w:fill="auto"/>
            <w:vAlign w:val="center"/>
          </w:tcPr>
          <w:p>
            <w:pPr>
              <w:ind w:firstLine="0" w:firstLineChars="0"/>
              <w:jc w:val="center"/>
              <w:rPr>
                <w:rFonts w:cs="Times New Roman"/>
                <w:color w:val="auto"/>
                <w:sz w:val="18"/>
                <w:szCs w:val="18"/>
                <w:highlight w:val="none"/>
              </w:rPr>
            </w:pPr>
          </w:p>
        </w:tc>
        <w:tc>
          <w:tcPr>
            <w:tcW w:w="1003" w:type="dxa"/>
            <w:vMerge w:val="continue"/>
            <w:tcBorders>
              <w:tl2br w:val="nil"/>
              <w:tr2bl w:val="nil"/>
            </w:tcBorders>
            <w:shd w:val="clear" w:color="auto" w:fill="auto"/>
            <w:vAlign w:val="center"/>
          </w:tcPr>
          <w:p>
            <w:pPr>
              <w:ind w:firstLine="0" w:firstLineChars="0"/>
              <w:jc w:val="center"/>
              <w:rPr>
                <w:rFonts w:cs="Times New Roman"/>
                <w:color w:val="auto"/>
                <w:sz w:val="18"/>
                <w:szCs w:val="18"/>
                <w:highlight w:val="none"/>
              </w:rPr>
            </w:pPr>
          </w:p>
        </w:tc>
        <w:tc>
          <w:tcPr>
            <w:tcW w:w="8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24</w:t>
            </w:r>
            <w:r>
              <w:rPr>
                <w:rFonts w:cs="Times New Roman"/>
                <w:color w:val="auto"/>
                <w:sz w:val="18"/>
                <w:szCs w:val="18"/>
                <w:highlight w:val="none"/>
                <w:lang w:bidi="ar"/>
              </w:rPr>
              <w:t>小时均值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8</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20</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30</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956"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w:t>
            </w:r>
          </w:p>
        </w:tc>
        <w:tc>
          <w:tcPr>
            <w:tcW w:w="1053"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w:t>
            </w:r>
          </w:p>
        </w:tc>
        <w:tc>
          <w:tcPr>
            <w:tcW w:w="1090" w:type="dxa"/>
            <w:tcBorders>
              <w:tl2br w:val="nil"/>
              <w:tr2bl w:val="nil"/>
            </w:tcBorders>
            <w:shd w:val="clear" w:color="auto" w:fill="FFFFFF"/>
            <w:vAlign w:val="center"/>
          </w:tcPr>
          <w:p>
            <w:pPr>
              <w:widowControl/>
              <w:ind w:firstLine="0" w:firstLineChars="0"/>
              <w:jc w:val="center"/>
              <w:textAlignment w:val="center"/>
              <w:rPr>
                <w:rFonts w:hint="eastAsia" w:eastAsia="仿宋_GB2312" w:cs="Times New Roman"/>
                <w:color w:val="auto"/>
                <w:kern w:val="0"/>
                <w:sz w:val="18"/>
                <w:szCs w:val="18"/>
                <w:highlight w:val="none"/>
                <w:lang w:val="en-US" w:eastAsia="zh-CN" w:bidi="ar"/>
              </w:rPr>
            </w:pPr>
            <w:r>
              <w:rPr>
                <w:rFonts w:hint="eastAsia" w:cs="Times New Roman"/>
                <w:color w:val="auto"/>
                <w:kern w:val="0"/>
                <w:sz w:val="18"/>
                <w:szCs w:val="18"/>
                <w:highlight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vMerge w:val="restart"/>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w:t>
            </w:r>
          </w:p>
        </w:tc>
        <w:tc>
          <w:tcPr>
            <w:tcW w:w="1003" w:type="dxa"/>
            <w:vMerge w:val="restart"/>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氮氧化物</w:t>
            </w:r>
          </w:p>
        </w:tc>
        <w:tc>
          <w:tcPr>
            <w:tcW w:w="8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sz w:val="18"/>
                <w:szCs w:val="18"/>
                <w:highlight w:val="none"/>
                <w:lang w:bidi="ar"/>
              </w:rPr>
              <w:t>1</w:t>
            </w:r>
            <w:r>
              <w:rPr>
                <w:rFonts w:cs="Times New Roman"/>
                <w:color w:val="auto"/>
                <w:kern w:val="0"/>
                <w:sz w:val="18"/>
                <w:szCs w:val="18"/>
                <w:highlight w:val="none"/>
                <w:lang w:bidi="ar"/>
              </w:rPr>
              <w:t>小时均值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lang w:bidi="ar"/>
              </w:rPr>
            </w:pPr>
            <w:r>
              <w:rPr>
                <w:rFonts w:cs="Times New Roman"/>
                <w:color w:val="auto"/>
                <w:sz w:val="18"/>
                <w:szCs w:val="18"/>
                <w:highlight w:val="none"/>
                <w:lang w:bidi="ar"/>
              </w:rPr>
              <w:t>150</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300</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150</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150</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400</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250</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120</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80</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200</w:t>
            </w:r>
          </w:p>
        </w:tc>
        <w:tc>
          <w:tcPr>
            <w:tcW w:w="956"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150</w:t>
            </w:r>
          </w:p>
        </w:tc>
        <w:tc>
          <w:tcPr>
            <w:tcW w:w="1053"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150</w:t>
            </w:r>
          </w:p>
        </w:tc>
        <w:tc>
          <w:tcPr>
            <w:tcW w:w="1090" w:type="dxa"/>
            <w:tcBorders>
              <w:tl2br w:val="nil"/>
              <w:tr2bl w:val="nil"/>
            </w:tcBorders>
            <w:shd w:val="clear" w:color="auto" w:fill="FFFFFF"/>
            <w:vAlign w:val="center"/>
          </w:tcPr>
          <w:p>
            <w:pPr>
              <w:widowControl/>
              <w:ind w:firstLine="0" w:firstLineChars="0"/>
              <w:jc w:val="center"/>
              <w:textAlignment w:val="center"/>
              <w:rPr>
                <w:rFonts w:hint="default" w:eastAsia="仿宋_GB2312" w:cs="Times New Roman"/>
                <w:color w:val="auto"/>
                <w:kern w:val="0"/>
                <w:sz w:val="18"/>
                <w:szCs w:val="18"/>
                <w:highlight w:val="none"/>
                <w:lang w:val="en-US" w:eastAsia="zh-CN" w:bidi="ar"/>
              </w:rPr>
            </w:pPr>
            <w:r>
              <w:rPr>
                <w:rFonts w:hint="eastAsia" w:cs="Times New Roman"/>
                <w:color w:val="auto"/>
                <w:kern w:val="0"/>
                <w:sz w:val="18"/>
                <w:szCs w:val="18"/>
                <w:highlight w:val="none"/>
                <w:lang w:val="en-US" w:eastAsia="zh-CN" w:bidi="ar"/>
              </w:rPr>
              <w:t>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vMerge w:val="continue"/>
            <w:tcBorders>
              <w:tl2br w:val="nil"/>
              <w:tr2bl w:val="nil"/>
            </w:tcBorders>
            <w:shd w:val="clear" w:color="auto" w:fill="auto"/>
            <w:vAlign w:val="center"/>
          </w:tcPr>
          <w:p>
            <w:pPr>
              <w:ind w:firstLine="0" w:firstLineChars="0"/>
              <w:jc w:val="center"/>
              <w:rPr>
                <w:rFonts w:cs="Times New Roman"/>
                <w:color w:val="auto"/>
                <w:sz w:val="18"/>
                <w:szCs w:val="18"/>
                <w:highlight w:val="none"/>
              </w:rPr>
            </w:pPr>
          </w:p>
        </w:tc>
        <w:tc>
          <w:tcPr>
            <w:tcW w:w="1003" w:type="dxa"/>
            <w:vMerge w:val="continue"/>
            <w:tcBorders>
              <w:tl2br w:val="nil"/>
              <w:tr2bl w:val="nil"/>
            </w:tcBorders>
            <w:shd w:val="clear" w:color="auto" w:fill="auto"/>
            <w:vAlign w:val="center"/>
          </w:tcPr>
          <w:p>
            <w:pPr>
              <w:ind w:firstLine="0" w:firstLineChars="0"/>
              <w:jc w:val="center"/>
              <w:rPr>
                <w:rFonts w:cs="Times New Roman"/>
                <w:color w:val="auto"/>
                <w:sz w:val="18"/>
                <w:szCs w:val="18"/>
                <w:highlight w:val="none"/>
              </w:rPr>
            </w:pPr>
          </w:p>
        </w:tc>
        <w:tc>
          <w:tcPr>
            <w:tcW w:w="8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24</w:t>
            </w:r>
            <w:r>
              <w:rPr>
                <w:rFonts w:cs="Times New Roman"/>
                <w:color w:val="auto"/>
                <w:sz w:val="18"/>
                <w:szCs w:val="18"/>
                <w:highlight w:val="none"/>
                <w:lang w:bidi="ar"/>
              </w:rPr>
              <w:t>小时均值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120</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250</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120</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120</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300</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200</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100</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80</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80</w:t>
            </w:r>
          </w:p>
        </w:tc>
        <w:tc>
          <w:tcPr>
            <w:tcW w:w="956"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100</w:t>
            </w:r>
          </w:p>
        </w:tc>
        <w:tc>
          <w:tcPr>
            <w:tcW w:w="1053"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120</w:t>
            </w:r>
          </w:p>
        </w:tc>
        <w:tc>
          <w:tcPr>
            <w:tcW w:w="1090" w:type="dxa"/>
            <w:tcBorders>
              <w:tl2br w:val="nil"/>
              <w:tr2bl w:val="nil"/>
            </w:tcBorders>
            <w:shd w:val="clear" w:color="auto" w:fill="FFFFFF"/>
            <w:vAlign w:val="center"/>
          </w:tcPr>
          <w:p>
            <w:pPr>
              <w:widowControl/>
              <w:ind w:firstLine="0" w:firstLineChars="0"/>
              <w:jc w:val="center"/>
              <w:textAlignment w:val="center"/>
              <w:rPr>
                <w:rFonts w:hint="eastAsia" w:eastAsia="仿宋_GB2312" w:cs="Times New Roman"/>
                <w:color w:val="auto"/>
                <w:kern w:val="0"/>
                <w:sz w:val="18"/>
                <w:szCs w:val="18"/>
                <w:highlight w:val="none"/>
                <w:lang w:eastAsia="zh-CN" w:bidi="ar"/>
              </w:rPr>
            </w:pPr>
            <w:r>
              <w:rPr>
                <w:rFonts w:hint="eastAsia" w:cs="Times New Roman"/>
                <w:color w:val="auto"/>
                <w:kern w:val="0"/>
                <w:sz w:val="18"/>
                <w:szCs w:val="18"/>
                <w:highlight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vMerge w:val="restart"/>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3</w:t>
            </w:r>
          </w:p>
        </w:tc>
        <w:tc>
          <w:tcPr>
            <w:tcW w:w="1003" w:type="dxa"/>
            <w:vMerge w:val="restart"/>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二氧化硫</w:t>
            </w:r>
          </w:p>
        </w:tc>
        <w:tc>
          <w:tcPr>
            <w:tcW w:w="8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sz w:val="18"/>
                <w:szCs w:val="18"/>
                <w:highlight w:val="none"/>
                <w:lang w:bidi="ar"/>
              </w:rPr>
              <w:t>1</w:t>
            </w:r>
            <w:r>
              <w:rPr>
                <w:rFonts w:cs="Times New Roman"/>
                <w:color w:val="auto"/>
                <w:kern w:val="0"/>
                <w:sz w:val="18"/>
                <w:szCs w:val="18"/>
                <w:highlight w:val="none"/>
                <w:lang w:bidi="ar"/>
              </w:rPr>
              <w:t>小时均值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lang w:bidi="ar"/>
              </w:rPr>
            </w:pPr>
            <w:r>
              <w:rPr>
                <w:rFonts w:cs="Times New Roman"/>
                <w:color w:val="auto"/>
                <w:sz w:val="18"/>
                <w:szCs w:val="18"/>
                <w:highlight w:val="none"/>
                <w:lang w:bidi="ar"/>
              </w:rPr>
              <w:t>35</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100</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40</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30</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260</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100</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30</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100</w:t>
            </w:r>
          </w:p>
        </w:tc>
        <w:tc>
          <w:tcPr>
            <w:tcW w:w="956"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40</w:t>
            </w:r>
          </w:p>
        </w:tc>
        <w:tc>
          <w:tcPr>
            <w:tcW w:w="1053"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40</w:t>
            </w:r>
          </w:p>
        </w:tc>
        <w:tc>
          <w:tcPr>
            <w:tcW w:w="109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vMerge w:val="continue"/>
            <w:tcBorders>
              <w:tl2br w:val="nil"/>
              <w:tr2bl w:val="nil"/>
            </w:tcBorders>
            <w:shd w:val="clear" w:color="auto" w:fill="auto"/>
            <w:vAlign w:val="center"/>
          </w:tcPr>
          <w:p>
            <w:pPr>
              <w:ind w:firstLine="0" w:firstLineChars="0"/>
              <w:jc w:val="center"/>
              <w:rPr>
                <w:rFonts w:cs="Times New Roman"/>
                <w:color w:val="auto"/>
                <w:sz w:val="18"/>
                <w:szCs w:val="18"/>
                <w:highlight w:val="none"/>
              </w:rPr>
            </w:pPr>
          </w:p>
        </w:tc>
        <w:tc>
          <w:tcPr>
            <w:tcW w:w="1003" w:type="dxa"/>
            <w:vMerge w:val="continue"/>
            <w:tcBorders>
              <w:tl2br w:val="nil"/>
              <w:tr2bl w:val="nil"/>
            </w:tcBorders>
            <w:shd w:val="clear" w:color="auto" w:fill="auto"/>
            <w:vAlign w:val="center"/>
          </w:tcPr>
          <w:p>
            <w:pPr>
              <w:ind w:firstLine="0" w:firstLineChars="0"/>
              <w:jc w:val="center"/>
              <w:rPr>
                <w:rFonts w:cs="Times New Roman"/>
                <w:color w:val="auto"/>
                <w:sz w:val="18"/>
                <w:szCs w:val="18"/>
                <w:highlight w:val="none"/>
              </w:rPr>
            </w:pPr>
          </w:p>
        </w:tc>
        <w:tc>
          <w:tcPr>
            <w:tcW w:w="8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24</w:t>
            </w:r>
            <w:r>
              <w:rPr>
                <w:rFonts w:cs="Times New Roman"/>
                <w:color w:val="auto"/>
                <w:sz w:val="18"/>
                <w:szCs w:val="18"/>
                <w:highlight w:val="none"/>
                <w:lang w:bidi="ar"/>
              </w:rPr>
              <w:t>小时均值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30</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80</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20</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20</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150</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50</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30</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100</w:t>
            </w:r>
          </w:p>
        </w:tc>
        <w:tc>
          <w:tcPr>
            <w:tcW w:w="956"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20</w:t>
            </w:r>
          </w:p>
        </w:tc>
        <w:tc>
          <w:tcPr>
            <w:tcW w:w="1053"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30</w:t>
            </w:r>
          </w:p>
        </w:tc>
        <w:tc>
          <w:tcPr>
            <w:tcW w:w="1090" w:type="dxa"/>
            <w:tcBorders>
              <w:tl2br w:val="nil"/>
              <w:tr2bl w:val="nil"/>
            </w:tcBorders>
            <w:shd w:val="clear" w:color="auto" w:fill="FFFFFF"/>
            <w:vAlign w:val="center"/>
          </w:tcPr>
          <w:p>
            <w:pPr>
              <w:widowControl/>
              <w:ind w:firstLine="0" w:firstLineChars="0"/>
              <w:jc w:val="center"/>
              <w:textAlignment w:val="center"/>
              <w:rPr>
                <w:rFonts w:hint="default" w:eastAsia="仿宋_GB2312" w:cs="Times New Roman"/>
                <w:color w:val="auto"/>
                <w:kern w:val="0"/>
                <w:sz w:val="18"/>
                <w:szCs w:val="18"/>
                <w:highlight w:val="none"/>
                <w:lang w:val="en-US" w:eastAsia="zh-CN" w:bidi="ar"/>
              </w:rPr>
            </w:pPr>
            <w:r>
              <w:rPr>
                <w:rFonts w:hint="eastAsia" w:cs="Times New Roman"/>
                <w:color w:val="auto"/>
                <w:kern w:val="0"/>
                <w:sz w:val="18"/>
                <w:szCs w:val="18"/>
                <w:highlight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vMerge w:val="restart"/>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4</w:t>
            </w:r>
          </w:p>
        </w:tc>
        <w:tc>
          <w:tcPr>
            <w:tcW w:w="1003" w:type="dxa"/>
            <w:vMerge w:val="restart"/>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sz w:val="18"/>
                <w:szCs w:val="18"/>
                <w:highlight w:val="none"/>
                <w:lang w:bidi="ar"/>
              </w:rPr>
              <w:t>氯化氢</w:t>
            </w:r>
          </w:p>
        </w:tc>
        <w:tc>
          <w:tcPr>
            <w:tcW w:w="8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w:t>
            </w:r>
            <w:r>
              <w:rPr>
                <w:rFonts w:cs="Times New Roman"/>
                <w:color w:val="auto"/>
                <w:sz w:val="18"/>
                <w:szCs w:val="18"/>
                <w:highlight w:val="none"/>
                <w:lang w:bidi="ar"/>
              </w:rPr>
              <w:t>小时均值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20</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60</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20</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75</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50</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60</w:t>
            </w:r>
          </w:p>
        </w:tc>
        <w:tc>
          <w:tcPr>
            <w:tcW w:w="956"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20</w:t>
            </w:r>
          </w:p>
        </w:tc>
        <w:tc>
          <w:tcPr>
            <w:tcW w:w="1053"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20</w:t>
            </w:r>
          </w:p>
        </w:tc>
        <w:tc>
          <w:tcPr>
            <w:tcW w:w="109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vMerge w:val="continue"/>
            <w:tcBorders>
              <w:tl2br w:val="nil"/>
              <w:tr2bl w:val="nil"/>
            </w:tcBorders>
            <w:shd w:val="clear" w:color="auto" w:fill="auto"/>
            <w:vAlign w:val="center"/>
          </w:tcPr>
          <w:p>
            <w:pPr>
              <w:ind w:firstLine="0" w:firstLineChars="0"/>
              <w:jc w:val="center"/>
              <w:rPr>
                <w:rFonts w:cs="Times New Roman"/>
                <w:color w:val="auto"/>
                <w:sz w:val="18"/>
                <w:szCs w:val="18"/>
                <w:highlight w:val="none"/>
              </w:rPr>
            </w:pPr>
          </w:p>
        </w:tc>
        <w:tc>
          <w:tcPr>
            <w:tcW w:w="1003" w:type="dxa"/>
            <w:vMerge w:val="continue"/>
            <w:tcBorders>
              <w:tl2br w:val="nil"/>
              <w:tr2bl w:val="nil"/>
            </w:tcBorders>
            <w:shd w:val="clear" w:color="auto" w:fill="auto"/>
            <w:vAlign w:val="center"/>
          </w:tcPr>
          <w:p>
            <w:pPr>
              <w:ind w:firstLine="0" w:firstLineChars="0"/>
              <w:jc w:val="center"/>
              <w:rPr>
                <w:rFonts w:cs="Times New Roman"/>
                <w:color w:val="auto"/>
                <w:sz w:val="18"/>
                <w:szCs w:val="18"/>
                <w:highlight w:val="none"/>
              </w:rPr>
            </w:pPr>
          </w:p>
        </w:tc>
        <w:tc>
          <w:tcPr>
            <w:tcW w:w="8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24</w:t>
            </w:r>
            <w:r>
              <w:rPr>
                <w:rFonts w:cs="Times New Roman"/>
                <w:color w:val="auto"/>
                <w:sz w:val="18"/>
                <w:szCs w:val="18"/>
                <w:highlight w:val="none"/>
                <w:lang w:bidi="ar"/>
              </w:rPr>
              <w:t>小时均值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10</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50</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60</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956"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1053"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109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hint="eastAsia" w:cs="Times New Roman"/>
                <w:color w:val="auto"/>
                <w:kern w:val="0"/>
                <w:sz w:val="18"/>
                <w:szCs w:val="18"/>
                <w:highlight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vMerge w:val="restart"/>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5</w:t>
            </w:r>
          </w:p>
        </w:tc>
        <w:tc>
          <w:tcPr>
            <w:tcW w:w="1003" w:type="dxa"/>
            <w:vMerge w:val="restart"/>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sz w:val="18"/>
                <w:szCs w:val="18"/>
                <w:highlight w:val="none"/>
                <w:lang w:bidi="ar"/>
              </w:rPr>
              <w:t>一氧化碳</w:t>
            </w:r>
          </w:p>
        </w:tc>
        <w:tc>
          <w:tcPr>
            <w:tcW w:w="800"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w:t>
            </w:r>
            <w:r>
              <w:rPr>
                <w:rFonts w:cs="Times New Roman"/>
                <w:color w:val="auto"/>
                <w:sz w:val="18"/>
                <w:szCs w:val="18"/>
                <w:highlight w:val="none"/>
                <w:lang w:bidi="ar"/>
              </w:rPr>
              <w:t>小时均值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100</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100</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100</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50</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100</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100</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50</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100</w:t>
            </w:r>
          </w:p>
        </w:tc>
        <w:tc>
          <w:tcPr>
            <w:tcW w:w="956"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100</w:t>
            </w:r>
          </w:p>
        </w:tc>
        <w:tc>
          <w:tcPr>
            <w:tcW w:w="1053"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100</w:t>
            </w:r>
          </w:p>
        </w:tc>
        <w:tc>
          <w:tcPr>
            <w:tcW w:w="109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vMerge w:val="continue"/>
            <w:tcBorders>
              <w:tl2br w:val="nil"/>
              <w:tr2bl w:val="nil"/>
            </w:tcBorders>
            <w:shd w:val="clear" w:color="auto" w:fill="auto"/>
            <w:vAlign w:val="center"/>
          </w:tcPr>
          <w:p>
            <w:pPr>
              <w:ind w:firstLine="0" w:firstLineChars="0"/>
              <w:jc w:val="center"/>
              <w:rPr>
                <w:rFonts w:cs="Times New Roman"/>
                <w:color w:val="auto"/>
                <w:sz w:val="18"/>
                <w:szCs w:val="18"/>
                <w:highlight w:val="none"/>
              </w:rPr>
            </w:pPr>
          </w:p>
        </w:tc>
        <w:tc>
          <w:tcPr>
            <w:tcW w:w="1003" w:type="dxa"/>
            <w:vMerge w:val="continue"/>
            <w:tcBorders>
              <w:tl2br w:val="nil"/>
              <w:tr2bl w:val="nil"/>
            </w:tcBorders>
            <w:shd w:val="clear" w:color="auto" w:fill="auto"/>
            <w:vAlign w:val="center"/>
          </w:tcPr>
          <w:p>
            <w:pPr>
              <w:ind w:firstLine="0" w:firstLineChars="0"/>
              <w:jc w:val="center"/>
              <w:rPr>
                <w:rFonts w:cs="Times New Roman"/>
                <w:color w:val="auto"/>
                <w:sz w:val="18"/>
                <w:szCs w:val="18"/>
                <w:highlight w:val="none"/>
              </w:rPr>
            </w:pPr>
          </w:p>
        </w:tc>
        <w:tc>
          <w:tcPr>
            <w:tcW w:w="800"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24</w:t>
            </w:r>
            <w:r>
              <w:rPr>
                <w:rFonts w:cs="Times New Roman"/>
                <w:color w:val="auto"/>
                <w:sz w:val="18"/>
                <w:szCs w:val="18"/>
                <w:highlight w:val="none"/>
                <w:lang w:bidi="ar"/>
              </w:rPr>
              <w:t>小时均值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80</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80</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80</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30</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60</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50</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30</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50</w:t>
            </w:r>
          </w:p>
        </w:tc>
        <w:tc>
          <w:tcPr>
            <w:tcW w:w="956"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50</w:t>
            </w:r>
          </w:p>
        </w:tc>
        <w:tc>
          <w:tcPr>
            <w:tcW w:w="1053" w:type="dxa"/>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80</w:t>
            </w:r>
          </w:p>
        </w:tc>
        <w:tc>
          <w:tcPr>
            <w:tcW w:w="109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hint="eastAsia" w:cs="Times New Roman"/>
                <w:color w:val="auto"/>
                <w:kern w:val="0"/>
                <w:sz w:val="18"/>
                <w:szCs w:val="18"/>
                <w:highlight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6</w:t>
            </w:r>
          </w:p>
        </w:tc>
        <w:tc>
          <w:tcPr>
            <w:tcW w:w="1003"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sz w:val="18"/>
                <w:szCs w:val="18"/>
                <w:highlight w:val="none"/>
                <w:lang w:bidi="ar"/>
              </w:rPr>
              <w:t>汞及其化合物</w:t>
            </w:r>
          </w:p>
        </w:tc>
        <w:tc>
          <w:tcPr>
            <w:tcW w:w="800" w:type="dxa"/>
            <w:tcBorders>
              <w:tl2br w:val="nil"/>
              <w:tr2bl w:val="nil"/>
            </w:tcBorders>
            <w:shd w:val="clear" w:color="auto" w:fill="auto"/>
            <w:noWrap/>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测定均值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0.02</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0.05</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0.02</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0.02</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0.05</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0.05</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0.02</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0.05</w:t>
            </w:r>
          </w:p>
        </w:tc>
        <w:tc>
          <w:tcPr>
            <w:tcW w:w="956"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0.02</w:t>
            </w:r>
          </w:p>
        </w:tc>
        <w:tc>
          <w:tcPr>
            <w:tcW w:w="1053"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0.02</w:t>
            </w:r>
          </w:p>
        </w:tc>
        <w:tc>
          <w:tcPr>
            <w:tcW w:w="109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0.01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7</w:t>
            </w:r>
          </w:p>
        </w:tc>
        <w:tc>
          <w:tcPr>
            <w:tcW w:w="1003"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sz w:val="18"/>
                <w:szCs w:val="18"/>
                <w:highlight w:val="none"/>
                <w:lang w:bidi="ar"/>
              </w:rPr>
              <w:t>镉、铊及其化合物</w:t>
            </w:r>
          </w:p>
        </w:tc>
        <w:tc>
          <w:tcPr>
            <w:tcW w:w="800" w:type="dxa"/>
            <w:tcBorders>
              <w:tl2br w:val="nil"/>
              <w:tr2bl w:val="nil"/>
            </w:tcBorders>
            <w:shd w:val="clear" w:color="auto" w:fill="auto"/>
            <w:noWrap/>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测定均值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0.03</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0.1</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0.03</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0.03</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0.05</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0.05</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0.04</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0.05</w:t>
            </w:r>
          </w:p>
        </w:tc>
        <w:tc>
          <w:tcPr>
            <w:tcW w:w="956"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0.03</w:t>
            </w:r>
          </w:p>
        </w:tc>
        <w:tc>
          <w:tcPr>
            <w:tcW w:w="1053"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0.03</w:t>
            </w:r>
          </w:p>
        </w:tc>
        <w:tc>
          <w:tcPr>
            <w:tcW w:w="1090" w:type="dxa"/>
            <w:tcBorders>
              <w:tl2br w:val="nil"/>
              <w:tr2bl w:val="nil"/>
            </w:tcBorders>
            <w:shd w:val="clear" w:color="auto" w:fill="FFFFFF"/>
            <w:vAlign w:val="center"/>
          </w:tcPr>
          <w:p>
            <w:pPr>
              <w:widowControl/>
              <w:ind w:firstLine="0" w:firstLineChars="0"/>
              <w:jc w:val="center"/>
              <w:textAlignment w:val="center"/>
              <w:rPr>
                <w:rFonts w:hint="eastAsia" w:eastAsia="仿宋_GB2312" w:cs="Times New Roman"/>
                <w:color w:val="auto"/>
                <w:kern w:val="0"/>
                <w:sz w:val="18"/>
                <w:szCs w:val="18"/>
                <w:highlight w:val="none"/>
                <w:lang w:eastAsia="zh-CN" w:bidi="ar"/>
              </w:rPr>
            </w:pPr>
            <w:r>
              <w:rPr>
                <w:rFonts w:cs="Times New Roman"/>
                <w:color w:val="auto"/>
                <w:kern w:val="0"/>
                <w:sz w:val="18"/>
                <w:szCs w:val="18"/>
                <w:highlight w:val="none"/>
                <w:lang w:bidi="ar"/>
              </w:rPr>
              <w:t>0.0</w:t>
            </w:r>
            <w:r>
              <w:rPr>
                <w:rFonts w:hint="eastAsia" w:cs="Times New Roman"/>
                <w:color w:val="auto"/>
                <w:kern w:val="0"/>
                <w:sz w:val="18"/>
                <w:szCs w:val="18"/>
                <w:highlight w:val="none"/>
                <w:lang w:val="en-US" w:eastAsia="zh-CN" w:bidi="ar"/>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w:t>
            </w:r>
          </w:p>
        </w:tc>
        <w:tc>
          <w:tcPr>
            <w:tcW w:w="100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锑、砷、铅、铬、钴、铜、锰、镍及其化合物</w:t>
            </w:r>
          </w:p>
        </w:tc>
        <w:tc>
          <w:tcPr>
            <w:tcW w:w="800" w:type="dxa"/>
            <w:tcBorders>
              <w:tl2br w:val="nil"/>
              <w:tr2bl w:val="nil"/>
            </w:tcBorders>
            <w:shd w:val="clear" w:color="auto" w:fill="auto"/>
            <w:noWrap/>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测定均值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0.3</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0.3</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0.3</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0.5</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0.5</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0.3</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0.5</w:t>
            </w:r>
          </w:p>
        </w:tc>
        <w:tc>
          <w:tcPr>
            <w:tcW w:w="956"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0.3</w:t>
            </w:r>
          </w:p>
        </w:tc>
        <w:tc>
          <w:tcPr>
            <w:tcW w:w="1053"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0.3</w:t>
            </w:r>
          </w:p>
        </w:tc>
        <w:tc>
          <w:tcPr>
            <w:tcW w:w="1090" w:type="dxa"/>
            <w:tcBorders>
              <w:tl2br w:val="nil"/>
              <w:tr2bl w:val="nil"/>
            </w:tcBorders>
            <w:shd w:val="clear" w:color="auto" w:fill="FFFFFF"/>
            <w:vAlign w:val="center"/>
          </w:tcPr>
          <w:p>
            <w:pPr>
              <w:widowControl/>
              <w:ind w:firstLine="0" w:firstLineChars="0"/>
              <w:jc w:val="center"/>
              <w:textAlignment w:val="center"/>
              <w:rPr>
                <w:rFonts w:hint="eastAsia" w:eastAsia="仿宋_GB2312" w:cs="Times New Roman"/>
                <w:color w:val="auto"/>
                <w:kern w:val="0"/>
                <w:sz w:val="18"/>
                <w:szCs w:val="18"/>
                <w:highlight w:val="none"/>
                <w:lang w:eastAsia="zh-CN" w:bidi="ar"/>
              </w:rPr>
            </w:pPr>
            <w:r>
              <w:rPr>
                <w:rFonts w:cs="Times New Roman"/>
                <w:color w:val="auto"/>
                <w:kern w:val="0"/>
                <w:sz w:val="18"/>
                <w:szCs w:val="18"/>
                <w:highlight w:val="none"/>
                <w:lang w:bidi="ar"/>
              </w:rPr>
              <w:t>0.</w:t>
            </w:r>
            <w:r>
              <w:rPr>
                <w:rFonts w:hint="eastAsia" w:cs="Times New Roman"/>
                <w:color w:val="auto"/>
                <w:kern w:val="0"/>
                <w:sz w:val="18"/>
                <w:szCs w:val="18"/>
                <w:highlight w:val="none"/>
                <w:lang w:val="en-US" w:eastAsia="zh-CN" w:bidi="ar"/>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75"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9</w:t>
            </w:r>
          </w:p>
        </w:tc>
        <w:tc>
          <w:tcPr>
            <w:tcW w:w="1003"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sz w:val="18"/>
                <w:szCs w:val="18"/>
                <w:highlight w:val="none"/>
                <w:lang w:bidi="ar"/>
              </w:rPr>
              <w:t>二噁英类</w:t>
            </w:r>
          </w:p>
        </w:tc>
        <w:tc>
          <w:tcPr>
            <w:tcW w:w="800" w:type="dxa"/>
            <w:tcBorders>
              <w:tl2br w:val="nil"/>
              <w:tr2bl w:val="nil"/>
            </w:tcBorders>
            <w:shd w:val="clear" w:color="auto" w:fill="auto"/>
            <w:noWrap/>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测定均值</w:t>
            </w:r>
          </w:p>
        </w:tc>
        <w:tc>
          <w:tcPr>
            <w:tcW w:w="88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0.1</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0.1</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0.1</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0.05</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0.1</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0.1</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0.05</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0.05</w:t>
            </w:r>
          </w:p>
        </w:tc>
        <w:tc>
          <w:tcPr>
            <w:tcW w:w="956"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0.1</w:t>
            </w:r>
          </w:p>
        </w:tc>
        <w:tc>
          <w:tcPr>
            <w:tcW w:w="1053"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0.1</w:t>
            </w:r>
          </w:p>
        </w:tc>
        <w:tc>
          <w:tcPr>
            <w:tcW w:w="1090" w:type="dxa"/>
            <w:tcBorders>
              <w:tl2br w:val="nil"/>
              <w:tr2bl w:val="nil"/>
            </w:tcBorders>
            <w:shd w:val="clear" w:color="auto" w:fill="FFFFFF"/>
            <w:vAlign w:val="center"/>
          </w:tcPr>
          <w:p>
            <w:pPr>
              <w:widowControl/>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0.05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trPr>
        <w:tc>
          <w:tcPr>
            <w:tcW w:w="575" w:type="dxa"/>
            <w:vMerge w:val="restart"/>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10</w:t>
            </w:r>
          </w:p>
        </w:tc>
        <w:tc>
          <w:tcPr>
            <w:tcW w:w="1003" w:type="dxa"/>
            <w:vMerge w:val="restart"/>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sz w:val="18"/>
                <w:szCs w:val="18"/>
                <w:highlight w:val="none"/>
                <w:lang w:bidi="ar"/>
              </w:rPr>
              <w:t>氨</w:t>
            </w:r>
          </w:p>
        </w:tc>
        <w:tc>
          <w:tcPr>
            <w:tcW w:w="8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1</w:t>
            </w:r>
            <w:r>
              <w:rPr>
                <w:rFonts w:cs="Times New Roman"/>
                <w:color w:val="auto"/>
                <w:sz w:val="18"/>
                <w:szCs w:val="18"/>
                <w:highlight w:val="none"/>
                <w:lang w:bidi="ar"/>
              </w:rPr>
              <w:t>小时均值</w:t>
            </w:r>
          </w:p>
        </w:tc>
        <w:tc>
          <w:tcPr>
            <w:tcW w:w="880" w:type="dxa"/>
            <w:tcBorders>
              <w:tl2br w:val="nil"/>
              <w:tr2bl w:val="nil"/>
            </w:tcBorders>
            <w:shd w:val="clear" w:color="auto" w:fill="FFFFFF"/>
            <w:vAlign w:val="center"/>
          </w:tcPr>
          <w:p>
            <w:pPr>
              <w:widowControl/>
              <w:ind w:firstLine="0" w:firstLineChars="0"/>
              <w:jc w:val="center"/>
              <w:textAlignment w:val="center"/>
              <w:rPr>
                <w:rFonts w:hint="default" w:eastAsia="仿宋_GB2312" w:cs="Times New Roman"/>
                <w:color w:val="auto"/>
                <w:kern w:val="0"/>
                <w:sz w:val="18"/>
                <w:szCs w:val="18"/>
                <w:highlight w:val="none"/>
                <w:lang w:val="en-US" w:eastAsia="zh-CN" w:bidi="ar"/>
              </w:rPr>
            </w:pPr>
            <w:r>
              <w:rPr>
                <w:rFonts w:hint="eastAsia" w:cs="Times New Roman"/>
                <w:color w:val="auto"/>
                <w:kern w:val="0"/>
                <w:sz w:val="18"/>
                <w:szCs w:val="18"/>
                <w:highlight w:val="none"/>
                <w:lang w:val="en-US" w:eastAsia="zh-CN" w:bidi="ar"/>
              </w:rPr>
              <w:t>12</w:t>
            </w:r>
          </w:p>
        </w:tc>
        <w:tc>
          <w:tcPr>
            <w:tcW w:w="950" w:type="dxa"/>
            <w:tcBorders>
              <w:tl2br w:val="nil"/>
              <w:tr2bl w:val="nil"/>
            </w:tcBorders>
            <w:shd w:val="clear" w:color="auto" w:fill="FFFFFF"/>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11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w:t>
            </w:r>
          </w:p>
        </w:tc>
        <w:tc>
          <w:tcPr>
            <w:tcW w:w="107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103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1129"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1000"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777"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w:t>
            </w:r>
          </w:p>
        </w:tc>
        <w:tc>
          <w:tcPr>
            <w:tcW w:w="956"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w:t>
            </w:r>
          </w:p>
        </w:tc>
        <w:tc>
          <w:tcPr>
            <w:tcW w:w="1053" w:type="dxa"/>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rPr>
            </w:pPr>
            <w:r>
              <w:rPr>
                <w:rFonts w:cs="Times New Roman"/>
                <w:color w:val="auto"/>
                <w:kern w:val="0"/>
                <w:sz w:val="18"/>
                <w:szCs w:val="18"/>
                <w:highlight w:val="none"/>
                <w:lang w:bidi="ar"/>
              </w:rPr>
              <w:t>8</w:t>
            </w:r>
          </w:p>
        </w:tc>
        <w:tc>
          <w:tcPr>
            <w:tcW w:w="1090" w:type="dxa"/>
            <w:tcBorders>
              <w:tl2br w:val="nil"/>
              <w:tr2bl w:val="nil"/>
            </w:tcBorders>
            <w:shd w:val="clear" w:color="auto" w:fill="FFFFFF"/>
            <w:vAlign w:val="center"/>
          </w:tcPr>
          <w:p>
            <w:pPr>
              <w:widowControl/>
              <w:ind w:firstLine="0" w:firstLineChars="0"/>
              <w:jc w:val="center"/>
              <w:textAlignment w:val="center"/>
              <w:rPr>
                <w:rFonts w:hint="eastAsia" w:eastAsia="仿宋_GB2312" w:cs="Times New Roman"/>
                <w:color w:val="auto"/>
                <w:kern w:val="0"/>
                <w:sz w:val="18"/>
                <w:szCs w:val="18"/>
                <w:highlight w:val="none"/>
                <w:lang w:eastAsia="zh-CN" w:bidi="ar"/>
              </w:rPr>
            </w:pPr>
            <w:r>
              <w:rPr>
                <w:rFonts w:hint="eastAsia" w:cs="Times New Roman"/>
                <w:color w:val="auto"/>
                <w:kern w:val="0"/>
                <w:sz w:val="18"/>
                <w:szCs w:val="18"/>
                <w:highlight w:val="none"/>
                <w:lang w:val="en-US" w:eastAsia="zh-CN" w:bidi="ar"/>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trPr>
        <w:tc>
          <w:tcPr>
            <w:tcW w:w="575" w:type="dxa"/>
            <w:vMerge w:val="continue"/>
            <w:tcBorders>
              <w:tl2br w:val="nil"/>
              <w:tr2bl w:val="nil"/>
            </w:tcBorders>
            <w:shd w:val="clear" w:color="auto" w:fill="auto"/>
            <w:vAlign w:val="center"/>
          </w:tcPr>
          <w:p>
            <w:pPr>
              <w:widowControl/>
              <w:ind w:firstLine="0" w:firstLineChars="0"/>
              <w:jc w:val="center"/>
              <w:textAlignment w:val="center"/>
              <w:rPr>
                <w:rFonts w:cs="Times New Roman"/>
                <w:color w:val="auto"/>
                <w:kern w:val="0"/>
                <w:sz w:val="18"/>
                <w:szCs w:val="18"/>
                <w:highlight w:val="none"/>
                <w:lang w:bidi="ar"/>
              </w:rPr>
            </w:pPr>
          </w:p>
        </w:tc>
        <w:tc>
          <w:tcPr>
            <w:tcW w:w="1003" w:type="dxa"/>
            <w:vMerge w:val="continue"/>
            <w:tcBorders>
              <w:tl2br w:val="nil"/>
              <w:tr2bl w:val="nil"/>
            </w:tcBorders>
            <w:shd w:val="clear" w:color="auto" w:fill="auto"/>
            <w:vAlign w:val="center"/>
          </w:tcPr>
          <w:p>
            <w:pPr>
              <w:widowControl/>
              <w:ind w:firstLine="0" w:firstLineChars="0"/>
              <w:jc w:val="center"/>
              <w:textAlignment w:val="center"/>
              <w:rPr>
                <w:rFonts w:cs="Times New Roman"/>
                <w:color w:val="auto"/>
                <w:sz w:val="18"/>
                <w:szCs w:val="18"/>
                <w:highlight w:val="none"/>
                <w:lang w:bidi="ar"/>
              </w:rPr>
            </w:pPr>
          </w:p>
        </w:tc>
        <w:tc>
          <w:tcPr>
            <w:tcW w:w="800" w:type="dxa"/>
            <w:tcBorders>
              <w:tl2br w:val="nil"/>
              <w:tr2bl w:val="nil"/>
            </w:tcBorders>
            <w:shd w:val="clear" w:color="auto" w:fill="auto"/>
            <w:vAlign w:val="center"/>
          </w:tcPr>
          <w:p>
            <w:pPr>
              <w:widowControl/>
              <w:ind w:firstLine="0" w:firstLineChars="0"/>
              <w:jc w:val="center"/>
              <w:textAlignment w:val="center"/>
              <w:rPr>
                <w:rFonts w:hint="default" w:eastAsia="仿宋_GB2312" w:cs="Times New Roman"/>
                <w:color w:val="auto"/>
                <w:kern w:val="0"/>
                <w:sz w:val="18"/>
                <w:szCs w:val="18"/>
                <w:highlight w:val="none"/>
                <w:lang w:val="en-US" w:eastAsia="zh-CN" w:bidi="ar"/>
              </w:rPr>
            </w:pPr>
            <w:r>
              <w:rPr>
                <w:rFonts w:hint="eastAsia" w:cs="Times New Roman"/>
                <w:color w:val="auto"/>
                <w:kern w:val="0"/>
                <w:sz w:val="18"/>
                <w:szCs w:val="18"/>
                <w:highlight w:val="none"/>
                <w:lang w:val="en-US" w:eastAsia="zh-CN" w:bidi="ar"/>
              </w:rPr>
              <w:t>24小时</w:t>
            </w:r>
          </w:p>
        </w:tc>
        <w:tc>
          <w:tcPr>
            <w:tcW w:w="880" w:type="dxa"/>
            <w:tcBorders>
              <w:tl2br w:val="nil"/>
              <w:tr2bl w:val="nil"/>
            </w:tcBorders>
            <w:shd w:val="clear" w:color="auto" w:fill="FFFFFF"/>
            <w:vAlign w:val="center"/>
          </w:tcPr>
          <w:p>
            <w:pPr>
              <w:widowControl/>
              <w:ind w:firstLine="0" w:firstLineChars="0"/>
              <w:jc w:val="center"/>
              <w:textAlignment w:val="center"/>
              <w:rPr>
                <w:rFonts w:hint="default" w:cs="Times New Roman"/>
                <w:color w:val="auto"/>
                <w:kern w:val="0"/>
                <w:sz w:val="18"/>
                <w:szCs w:val="18"/>
                <w:highlight w:val="none"/>
                <w:lang w:val="en-US" w:eastAsia="zh-CN" w:bidi="ar"/>
              </w:rPr>
            </w:pPr>
            <w:r>
              <w:rPr>
                <w:rFonts w:hint="eastAsia" w:cs="Times New Roman"/>
                <w:color w:val="auto"/>
                <w:kern w:val="0"/>
                <w:sz w:val="18"/>
                <w:szCs w:val="18"/>
                <w:highlight w:val="none"/>
                <w:lang w:val="en-US" w:eastAsia="zh-CN" w:bidi="ar"/>
              </w:rPr>
              <w:t>8</w:t>
            </w:r>
          </w:p>
        </w:tc>
        <w:tc>
          <w:tcPr>
            <w:tcW w:w="950" w:type="dxa"/>
            <w:tcBorders>
              <w:tl2br w:val="nil"/>
              <w:tr2bl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w:t>
            </w:r>
          </w:p>
        </w:tc>
        <w:tc>
          <w:tcPr>
            <w:tcW w:w="1100"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w:t>
            </w:r>
          </w:p>
        </w:tc>
        <w:tc>
          <w:tcPr>
            <w:tcW w:w="1070"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w:t>
            </w:r>
          </w:p>
        </w:tc>
        <w:tc>
          <w:tcPr>
            <w:tcW w:w="103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w:t>
            </w:r>
          </w:p>
        </w:tc>
        <w:tc>
          <w:tcPr>
            <w:tcW w:w="112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w:t>
            </w:r>
          </w:p>
        </w:tc>
        <w:tc>
          <w:tcPr>
            <w:tcW w:w="1000"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w:t>
            </w:r>
          </w:p>
        </w:tc>
        <w:tc>
          <w:tcPr>
            <w:tcW w:w="85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w:t>
            </w:r>
          </w:p>
        </w:tc>
        <w:tc>
          <w:tcPr>
            <w:tcW w:w="77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w:t>
            </w:r>
          </w:p>
        </w:tc>
        <w:tc>
          <w:tcPr>
            <w:tcW w:w="956"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w:t>
            </w:r>
          </w:p>
        </w:tc>
        <w:tc>
          <w:tcPr>
            <w:tcW w:w="105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w:t>
            </w:r>
          </w:p>
        </w:tc>
        <w:tc>
          <w:tcPr>
            <w:tcW w:w="1090" w:type="dxa"/>
            <w:tcBorders>
              <w:tl2br w:val="nil"/>
              <w:tr2bl w:val="nil"/>
            </w:tcBorders>
            <w:shd w:val="clear" w:color="auto" w:fill="FFFFFF"/>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cs="Times New Roman"/>
                <w:color w:val="auto"/>
                <w:kern w:val="0"/>
                <w:sz w:val="18"/>
                <w:szCs w:val="18"/>
                <w:highlight w:val="none"/>
                <w:lang w:bidi="ar"/>
              </w:rPr>
            </w:pPr>
            <w:r>
              <w:rPr>
                <w:rFonts w:cs="Times New Roman"/>
                <w:color w:val="auto"/>
                <w:kern w:val="0"/>
                <w:sz w:val="18"/>
                <w:szCs w:val="18"/>
                <w:highlight w:val="none"/>
                <w:lang w:bidi="ar"/>
              </w:rPr>
              <w:t>——</w:t>
            </w:r>
          </w:p>
        </w:tc>
      </w:tr>
    </w:tbl>
    <w:p>
      <w:pPr>
        <w:ind w:firstLine="0" w:firstLineChars="0"/>
        <w:rPr>
          <w:rFonts w:cs="Times New Roman"/>
          <w:color w:val="auto"/>
          <w:szCs w:val="32"/>
          <w:highlight w:val="none"/>
        </w:rPr>
      </w:pPr>
    </w:p>
    <w:p>
      <w:pPr>
        <w:ind w:firstLine="640"/>
        <w:rPr>
          <w:rFonts w:cs="Times New Roman"/>
          <w:color w:val="auto"/>
          <w:szCs w:val="32"/>
          <w:highlight w:val="none"/>
        </w:rPr>
        <w:sectPr>
          <w:pgSz w:w="16838" w:h="11906" w:orient="landscape"/>
          <w:pgMar w:top="1480" w:right="1440" w:bottom="1800" w:left="1440" w:header="851" w:footer="992" w:gutter="0"/>
          <w:cols w:space="425" w:num="1"/>
          <w:docGrid w:type="lines" w:linePitch="312" w:charSpace="0"/>
        </w:sectPr>
      </w:pPr>
    </w:p>
    <w:p>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仿宋_GB2312" w:cs="Times New Roman"/>
          <w:color w:val="auto"/>
          <w:kern w:val="2"/>
          <w:szCs w:val="22"/>
          <w:highlight w:val="none"/>
          <w:lang w:val="en-US" w:eastAsia="zh-CN"/>
        </w:rPr>
      </w:pPr>
      <w:bookmarkStart w:id="169" w:name="_Toc22311"/>
      <w:bookmarkStart w:id="170" w:name="_Toc53324762"/>
      <w:bookmarkStart w:id="171" w:name="_Toc71552517"/>
      <w:r>
        <w:rPr>
          <w:rFonts w:hint="default" w:ascii="Times New Roman" w:hAnsi="Times New Roman" w:eastAsia="仿宋_GB2312" w:cs="Times New Roman"/>
          <w:color w:val="auto"/>
          <w:kern w:val="2"/>
          <w:szCs w:val="22"/>
          <w:highlight w:val="none"/>
          <w:lang w:val="en-US" w:eastAsia="zh-CN"/>
        </w:rPr>
        <w:t>6.重大意见分歧处理</w:t>
      </w:r>
      <w:bookmarkEnd w:id="169"/>
      <w:bookmarkStart w:id="172" w:name="_Hlk120600071"/>
      <w:r>
        <w:rPr>
          <w:rFonts w:hint="default" w:ascii="Times New Roman" w:hAnsi="Times New Roman" w:eastAsia="仿宋_GB2312" w:cs="Times New Roman"/>
          <w:color w:val="auto"/>
          <w:kern w:val="2"/>
          <w:szCs w:val="22"/>
          <w:highlight w:val="none"/>
          <w:lang w:val="en-US" w:eastAsia="zh-CN"/>
        </w:rPr>
        <w:t xml:space="preserve"> </w:t>
      </w:r>
    </w:p>
    <w:bookmarkEnd w:id="172"/>
    <w:p>
      <w:pPr>
        <w:ind w:firstLine="640"/>
        <w:rPr>
          <w:rFonts w:eastAsia="仿宋" w:cs="Times New Roman"/>
          <w:color w:val="auto"/>
          <w:szCs w:val="32"/>
          <w:highlight w:val="none"/>
        </w:rPr>
      </w:pPr>
      <w:r>
        <w:rPr>
          <w:rFonts w:cs="Times New Roman"/>
          <w:b/>
          <w:bCs/>
          <w:color w:val="auto"/>
          <w:highlight w:val="none"/>
        </w:rPr>
        <w:t>重大意见分歧：</w:t>
      </w:r>
      <w:r>
        <w:rPr>
          <w:rFonts w:cs="Times New Roman"/>
          <w:color w:val="auto"/>
          <w:highlight w:val="none"/>
        </w:rPr>
        <w:t>氨的排放限值最初拟定为小时均值8 mg/m</w:t>
      </w:r>
      <w:r>
        <w:rPr>
          <w:rFonts w:cs="Times New Roman"/>
          <w:color w:val="auto"/>
          <w:highlight w:val="none"/>
          <w:vertAlign w:val="superscript"/>
        </w:rPr>
        <w:t>3</w:t>
      </w:r>
      <w:r>
        <w:rPr>
          <w:rFonts w:eastAsia="仿宋" w:cs="Times New Roman"/>
          <w:color w:val="auto"/>
          <w:szCs w:val="32"/>
          <w:highlight w:val="none"/>
        </w:rPr>
        <w:t>，</w:t>
      </w:r>
      <w:r>
        <w:rPr>
          <w:rFonts w:cs="Times New Roman"/>
          <w:color w:val="auto"/>
          <w:highlight w:val="none"/>
        </w:rPr>
        <w:t>开封市生态环境局、鹤壁市生态环境局、南阳市生态环境局、济源市示范区生态环境局、中国光大环境（集团有限公司）、焦作市绿鑫城发有限公司等单位建议放宽氨的排放限值，将氨的小时均值放宽到16</w:t>
      </w:r>
      <w:r>
        <w:rPr>
          <w:rFonts w:hint="eastAsia" w:cs="Times New Roman"/>
          <w:color w:val="auto"/>
          <w:highlight w:val="none"/>
          <w:lang w:val="en-US" w:eastAsia="zh-CN"/>
        </w:rPr>
        <w:t>~</w:t>
      </w:r>
      <w:r>
        <w:rPr>
          <w:rFonts w:cs="Times New Roman"/>
          <w:color w:val="auto"/>
          <w:highlight w:val="none"/>
        </w:rPr>
        <w:t>20 mg/m</w:t>
      </w:r>
      <w:r>
        <w:rPr>
          <w:rFonts w:cs="Times New Roman"/>
          <w:color w:val="auto"/>
          <w:highlight w:val="none"/>
          <w:vertAlign w:val="superscript"/>
        </w:rPr>
        <w:t>3</w:t>
      </w:r>
      <w:r>
        <w:rPr>
          <w:rFonts w:cs="Times New Roman"/>
          <w:color w:val="auto"/>
          <w:highlight w:val="none"/>
        </w:rPr>
        <w:t>或氨的小时均值8 mg/m</w:t>
      </w:r>
      <w:r>
        <w:rPr>
          <w:rFonts w:cs="Times New Roman"/>
          <w:color w:val="auto"/>
          <w:highlight w:val="none"/>
          <w:vertAlign w:val="superscript"/>
        </w:rPr>
        <w:t>3</w:t>
      </w:r>
      <w:r>
        <w:rPr>
          <w:rFonts w:cs="Times New Roman"/>
          <w:color w:val="auto"/>
          <w:highlight w:val="none"/>
        </w:rPr>
        <w:t>修订为日均值8 mg/m</w:t>
      </w:r>
      <w:r>
        <w:rPr>
          <w:rFonts w:cs="Times New Roman"/>
          <w:color w:val="auto"/>
          <w:highlight w:val="none"/>
          <w:vertAlign w:val="superscript"/>
        </w:rPr>
        <w:t>3</w:t>
      </w:r>
      <w:bookmarkStart w:id="173" w:name="_Hlk120599912"/>
      <w:r>
        <w:rPr>
          <w:rFonts w:cs="Times New Roman"/>
          <w:color w:val="auto"/>
          <w:highlight w:val="none"/>
        </w:rPr>
        <w:t>或</w:t>
      </w:r>
      <w:bookmarkEnd w:id="173"/>
      <w:r>
        <w:rPr>
          <w:rFonts w:cs="Times New Roman"/>
          <w:color w:val="auto"/>
          <w:highlight w:val="none"/>
        </w:rPr>
        <w:t>用日均值作为氨达标判定的依据</w:t>
      </w:r>
      <w:r>
        <w:rPr>
          <w:rFonts w:eastAsia="仿宋" w:cs="Times New Roman"/>
          <w:color w:val="auto"/>
          <w:szCs w:val="32"/>
          <w:highlight w:val="none"/>
        </w:rPr>
        <w:t>。</w:t>
      </w:r>
    </w:p>
    <w:p>
      <w:pPr>
        <w:ind w:firstLine="640"/>
        <w:rPr>
          <w:rFonts w:cs="Times New Roman"/>
          <w:color w:val="auto"/>
          <w:szCs w:val="32"/>
          <w:highlight w:val="none"/>
        </w:rPr>
      </w:pPr>
      <w:r>
        <w:rPr>
          <w:rFonts w:cs="Times New Roman"/>
          <w:b/>
          <w:bCs/>
          <w:color w:val="auto"/>
          <w:highlight w:val="none"/>
        </w:rPr>
        <w:t>分歧处理结果</w:t>
      </w:r>
      <w:r>
        <w:rPr>
          <w:rFonts w:cs="Times New Roman"/>
          <w:color w:val="auto"/>
          <w:highlight w:val="none"/>
        </w:rPr>
        <w:t>：采纳建议。将氨的小时均值定为12mg/m</w:t>
      </w:r>
      <w:r>
        <w:rPr>
          <w:rFonts w:cs="Times New Roman"/>
          <w:color w:val="auto"/>
          <w:highlight w:val="none"/>
          <w:vertAlign w:val="superscript"/>
        </w:rPr>
        <w:t>3</w:t>
      </w:r>
      <w:r>
        <w:rPr>
          <w:rFonts w:cs="Times New Roman"/>
          <w:color w:val="auto"/>
          <w:highlight w:val="none"/>
        </w:rPr>
        <w:t>，日均值定为8mg/m</w:t>
      </w:r>
      <w:r>
        <w:rPr>
          <w:rFonts w:cs="Times New Roman"/>
          <w:color w:val="auto"/>
          <w:highlight w:val="none"/>
          <w:vertAlign w:val="superscript"/>
        </w:rPr>
        <w:t>3</w:t>
      </w:r>
      <w:r>
        <w:rPr>
          <w:rFonts w:cs="Times New Roman"/>
          <w:color w:val="auto"/>
          <w:highlight w:val="none"/>
        </w:rPr>
        <w:t>，</w:t>
      </w:r>
      <w:r>
        <w:rPr>
          <w:rFonts w:cs="Times New Roman"/>
          <w:color w:val="auto"/>
          <w:szCs w:val="32"/>
          <w:highlight w:val="none"/>
        </w:rPr>
        <w:t>既可以促进生活垃圾焚烧企业控制每日氨排放总量，又兼顾企业实际运行情况，提高标准实施的可行性。</w:t>
      </w:r>
    </w:p>
    <w:p>
      <w:pPr>
        <w:ind w:firstLine="640"/>
        <w:rPr>
          <w:rFonts w:cs="Times New Roman"/>
          <w:b/>
          <w:bCs/>
          <w:color w:val="auto"/>
          <w:highlight w:val="none"/>
        </w:rPr>
      </w:pPr>
      <w:r>
        <w:rPr>
          <w:rFonts w:cs="Times New Roman"/>
          <w:b/>
          <w:bCs/>
          <w:color w:val="auto"/>
          <w:highlight w:val="none"/>
        </w:rPr>
        <w:t>采纳建议原因如下：</w:t>
      </w:r>
    </w:p>
    <w:p>
      <w:pPr>
        <w:spacing w:line="360" w:lineRule="auto"/>
        <w:ind w:firstLine="640"/>
        <w:rPr>
          <w:rFonts w:cs="Times New Roman"/>
          <w:color w:val="auto"/>
          <w:highlight w:val="none"/>
        </w:rPr>
      </w:pPr>
      <w:r>
        <w:rPr>
          <w:rFonts w:hint="eastAsia" w:cs="Times New Roman"/>
          <w:color w:val="auto"/>
          <w:highlight w:val="none"/>
          <w:lang w:eastAsia="zh-CN"/>
        </w:rPr>
        <w:t>（</w:t>
      </w:r>
      <w:r>
        <w:rPr>
          <w:rFonts w:hint="eastAsia" w:cs="Times New Roman"/>
          <w:color w:val="auto"/>
          <w:highlight w:val="none"/>
          <w:lang w:val="en-US" w:eastAsia="zh-CN"/>
        </w:rPr>
        <w:t>1</w:t>
      </w:r>
      <w:r>
        <w:rPr>
          <w:rFonts w:hint="eastAsia" w:cs="Times New Roman"/>
          <w:color w:val="auto"/>
          <w:highlight w:val="none"/>
          <w:lang w:eastAsia="zh-CN"/>
        </w:rPr>
        <w:t>）</w:t>
      </w:r>
      <w:r>
        <w:rPr>
          <w:rFonts w:cs="Times New Roman"/>
          <w:color w:val="auto"/>
          <w:highlight w:val="none"/>
        </w:rPr>
        <w:t>参考外省标准。河北、天津、山东</w:t>
      </w:r>
      <w:r>
        <w:rPr>
          <w:rFonts w:hint="eastAsia" w:cs="Times New Roman"/>
          <w:color w:val="auto"/>
          <w:highlight w:val="none"/>
          <w:lang w:eastAsia="zh-CN"/>
        </w:rPr>
        <w:t>、</w:t>
      </w:r>
      <w:r>
        <w:rPr>
          <w:rFonts w:hint="eastAsia" w:cs="Times New Roman"/>
          <w:color w:val="auto"/>
          <w:highlight w:val="none"/>
          <w:lang w:val="en-US" w:eastAsia="zh-CN"/>
        </w:rPr>
        <w:t>江苏</w:t>
      </w:r>
      <w:r>
        <w:rPr>
          <w:rFonts w:cs="Times New Roman"/>
          <w:color w:val="auto"/>
          <w:highlight w:val="none"/>
        </w:rPr>
        <w:t>氨小时均值均为</w:t>
      </w:r>
      <w:bookmarkStart w:id="174" w:name="_Hlk120210242"/>
      <w:r>
        <w:rPr>
          <w:rFonts w:cs="Times New Roman"/>
          <w:color w:val="auto"/>
          <w:highlight w:val="none"/>
        </w:rPr>
        <w:t>8mg/m</w:t>
      </w:r>
      <w:r>
        <w:rPr>
          <w:rFonts w:cs="Times New Roman"/>
          <w:color w:val="auto"/>
          <w:highlight w:val="none"/>
          <w:vertAlign w:val="superscript"/>
        </w:rPr>
        <w:t>3</w:t>
      </w:r>
      <w:bookmarkEnd w:id="174"/>
      <w:r>
        <w:rPr>
          <w:rFonts w:cs="Times New Roman"/>
          <w:color w:val="auto"/>
          <w:highlight w:val="none"/>
        </w:rPr>
        <w:t>。</w:t>
      </w:r>
      <w:r>
        <w:rPr>
          <w:rFonts w:hint="eastAsia" w:cs="Times New Roman"/>
          <w:color w:val="auto"/>
          <w:highlight w:val="none"/>
          <w:lang w:val="en-US" w:eastAsia="zh-CN"/>
        </w:rPr>
        <w:t>但是，</w:t>
      </w:r>
      <w:r>
        <w:rPr>
          <w:rFonts w:cs="Times New Roman"/>
          <w:color w:val="auto"/>
          <w:highlight w:val="none"/>
        </w:rPr>
        <w:t>河北、天津、山东、江苏4个省的标准明确规定，采用焚烧炉烟气在线监测时，正常运行的焚烧炉在一个自然日内排放的颗粒物、二氧化硫、氮氧化物、一氧化碳和氯化氢的自动监测日均值数据，任意一项超过本文件规定的 24 小时均值限值，可判定为超标。氨的排放是否超标不按在线数据判定，也</w:t>
      </w:r>
      <w:r>
        <w:rPr>
          <w:rFonts w:hint="eastAsia" w:cs="Times New Roman"/>
          <w:color w:val="auto"/>
          <w:highlight w:val="none"/>
          <w:lang w:val="en-US" w:eastAsia="zh-CN"/>
        </w:rPr>
        <w:t>未</w:t>
      </w:r>
      <w:r>
        <w:rPr>
          <w:rFonts w:cs="Times New Roman"/>
          <w:color w:val="auto"/>
          <w:highlight w:val="none"/>
        </w:rPr>
        <w:t>规定氨的日均值限值。</w:t>
      </w:r>
    </w:p>
    <w:p>
      <w:pPr>
        <w:spacing w:line="360" w:lineRule="auto"/>
        <w:ind w:firstLine="640"/>
        <w:rPr>
          <w:rFonts w:cs="Times New Roman"/>
          <w:color w:val="auto"/>
          <w:highlight w:val="none"/>
        </w:rPr>
      </w:pPr>
      <w:r>
        <w:rPr>
          <w:rFonts w:hint="eastAsia" w:cs="Times New Roman"/>
          <w:color w:val="auto"/>
          <w:highlight w:val="none"/>
          <w:lang w:eastAsia="zh-CN"/>
        </w:rPr>
        <w:t>（</w:t>
      </w:r>
      <w:r>
        <w:rPr>
          <w:rFonts w:hint="eastAsia" w:cs="Times New Roman"/>
          <w:color w:val="auto"/>
          <w:highlight w:val="none"/>
          <w:lang w:val="en-US" w:eastAsia="zh-CN"/>
        </w:rPr>
        <w:t>2</w:t>
      </w:r>
      <w:r>
        <w:rPr>
          <w:rFonts w:hint="eastAsia" w:cs="Times New Roman"/>
          <w:color w:val="auto"/>
          <w:highlight w:val="none"/>
          <w:lang w:eastAsia="zh-CN"/>
        </w:rPr>
        <w:t>）</w:t>
      </w:r>
      <w:r>
        <w:rPr>
          <w:rFonts w:cs="Times New Roman"/>
          <w:color w:val="auto"/>
          <w:highlight w:val="none"/>
        </w:rPr>
        <w:t>氨的监测频次：</w:t>
      </w:r>
      <w:bookmarkStart w:id="175" w:name="_Hlk120601325"/>
      <w:r>
        <w:rPr>
          <w:rFonts w:cs="Times New Roman"/>
          <w:color w:val="auto"/>
          <w:highlight w:val="none"/>
        </w:rPr>
        <w:t>河南、</w:t>
      </w:r>
      <w:bookmarkStart w:id="176" w:name="_Hlk120210810"/>
      <w:r>
        <w:rPr>
          <w:rFonts w:cs="Times New Roman"/>
          <w:color w:val="auto"/>
          <w:highlight w:val="none"/>
        </w:rPr>
        <w:t>河北、天津、山东、江苏</w:t>
      </w:r>
      <w:bookmarkEnd w:id="175"/>
      <w:bookmarkEnd w:id="176"/>
      <w:r>
        <w:rPr>
          <w:rFonts w:cs="Times New Roman"/>
          <w:color w:val="auto"/>
          <w:highlight w:val="none"/>
        </w:rPr>
        <w:t>生活垃圾焚烧厂对焚烧炉烟气中氨监测频次的规定为每月至少开展1次。</w:t>
      </w:r>
    </w:p>
    <w:p>
      <w:pPr>
        <w:spacing w:line="360" w:lineRule="auto"/>
        <w:ind w:firstLine="640"/>
        <w:rPr>
          <w:rFonts w:cs="Times New Roman"/>
          <w:color w:val="auto"/>
          <w:highlight w:val="none"/>
        </w:rPr>
      </w:pPr>
      <w:bookmarkStart w:id="177" w:name="_Hlk120211529"/>
      <w:r>
        <w:rPr>
          <w:rFonts w:hint="eastAsia" w:cs="Times New Roman"/>
          <w:color w:val="auto"/>
          <w:highlight w:val="none"/>
          <w:lang w:eastAsia="zh-CN"/>
        </w:rPr>
        <w:t>（</w:t>
      </w:r>
      <w:r>
        <w:rPr>
          <w:rFonts w:hint="eastAsia" w:cs="Times New Roman"/>
          <w:color w:val="auto"/>
          <w:highlight w:val="none"/>
          <w:lang w:val="en-US" w:eastAsia="zh-CN"/>
        </w:rPr>
        <w:t>3</w:t>
      </w:r>
      <w:r>
        <w:rPr>
          <w:rFonts w:hint="eastAsia" w:cs="Times New Roman"/>
          <w:color w:val="auto"/>
          <w:highlight w:val="none"/>
          <w:lang w:eastAsia="zh-CN"/>
        </w:rPr>
        <w:t>）</w:t>
      </w:r>
      <w:r>
        <w:rPr>
          <w:rFonts w:cs="Times New Roman"/>
          <w:color w:val="auto"/>
          <w:highlight w:val="none"/>
        </w:rPr>
        <w:t>氨的达标判定。河南、河北、天津、山东、江苏均以氨的小时均值作为达标判定的依据，但仅仅是以每月的例行监测和环保部门现场执法监测的小时均值数据作为达标判定的</w:t>
      </w:r>
      <w:bookmarkEnd w:id="177"/>
      <w:r>
        <w:rPr>
          <w:rFonts w:cs="Times New Roman"/>
          <w:color w:val="auto"/>
          <w:highlight w:val="none"/>
        </w:rPr>
        <w:t>依据。</w:t>
      </w:r>
    </w:p>
    <w:p>
      <w:pPr>
        <w:ind w:firstLine="640"/>
        <w:rPr>
          <w:rFonts w:cs="Times New Roman"/>
          <w:color w:val="auto"/>
          <w:highlight w:val="none"/>
        </w:rPr>
      </w:pPr>
      <w:bookmarkStart w:id="178" w:name="_Hlk120602665"/>
      <w:r>
        <w:rPr>
          <w:rFonts w:hint="eastAsia" w:cs="Times New Roman"/>
          <w:color w:val="auto"/>
          <w:highlight w:val="none"/>
          <w:lang w:eastAsia="zh-CN"/>
        </w:rPr>
        <w:t>（</w:t>
      </w:r>
      <w:r>
        <w:rPr>
          <w:rFonts w:hint="eastAsia" w:cs="Times New Roman"/>
          <w:color w:val="auto"/>
          <w:highlight w:val="none"/>
          <w:lang w:val="en-US" w:eastAsia="zh-CN"/>
        </w:rPr>
        <w:t>4</w:t>
      </w:r>
      <w:r>
        <w:rPr>
          <w:rFonts w:hint="eastAsia" w:cs="Times New Roman"/>
          <w:color w:val="auto"/>
          <w:highlight w:val="none"/>
          <w:lang w:eastAsia="zh-CN"/>
        </w:rPr>
        <w:t>）</w:t>
      </w:r>
      <w:r>
        <w:rPr>
          <w:rFonts w:cs="Times New Roman"/>
          <w:color w:val="auto"/>
          <w:highlight w:val="none"/>
        </w:rPr>
        <w:t>河南省现状。</w:t>
      </w:r>
      <w:bookmarkEnd w:id="178"/>
      <w:r>
        <w:rPr>
          <w:rFonts w:cs="Times New Roman"/>
          <w:color w:val="auto"/>
          <w:highlight w:val="none"/>
        </w:rPr>
        <w:t>河南省</w:t>
      </w:r>
      <w:r>
        <w:rPr>
          <w:rFonts w:hint="eastAsia" w:cs="Times New Roman"/>
          <w:color w:val="auto"/>
          <w:highlight w:val="none"/>
          <w:lang w:val="en-US" w:eastAsia="zh-CN"/>
        </w:rPr>
        <w:t>生活</w:t>
      </w:r>
      <w:r>
        <w:rPr>
          <w:rFonts w:cs="Times New Roman"/>
          <w:color w:val="auto"/>
          <w:highlight w:val="none"/>
        </w:rPr>
        <w:t>垃圾焚烧企业均安装了氨的在线监控设备，若自动在线数据</w:t>
      </w:r>
      <w:r>
        <w:rPr>
          <w:rFonts w:hint="eastAsia" w:cs="Times New Roman"/>
          <w:color w:val="auto"/>
          <w:highlight w:val="none"/>
          <w:lang w:eastAsia="zh-CN"/>
        </w:rPr>
        <w:t>（</w:t>
      </w:r>
      <w:r>
        <w:rPr>
          <w:rFonts w:cs="Times New Roman"/>
          <w:color w:val="auto"/>
          <w:highlight w:val="none"/>
        </w:rPr>
        <w:t>8mg/m</w:t>
      </w:r>
      <w:r>
        <w:rPr>
          <w:rFonts w:cs="Times New Roman"/>
          <w:color w:val="auto"/>
          <w:highlight w:val="none"/>
          <w:vertAlign w:val="superscript"/>
        </w:rPr>
        <w:t>3</w:t>
      </w:r>
      <w:r>
        <w:rPr>
          <w:rFonts w:cs="Times New Roman"/>
          <w:color w:val="auto"/>
          <w:highlight w:val="none"/>
        </w:rPr>
        <w:t>的排放限值</w:t>
      </w:r>
      <w:r>
        <w:rPr>
          <w:rFonts w:hint="eastAsia" w:cs="Times New Roman"/>
          <w:color w:val="auto"/>
          <w:highlight w:val="none"/>
          <w:lang w:eastAsia="zh-CN"/>
        </w:rPr>
        <w:t>）</w:t>
      </w:r>
      <w:r>
        <w:rPr>
          <w:rFonts w:cs="Times New Roman"/>
          <w:color w:val="auto"/>
          <w:highlight w:val="none"/>
        </w:rPr>
        <w:t>，也作为达标判定的依据，河南省</w:t>
      </w:r>
      <w:r>
        <w:rPr>
          <w:rFonts w:hint="eastAsia" w:cs="Times New Roman"/>
          <w:color w:val="auto"/>
          <w:highlight w:val="none"/>
          <w:lang w:val="en-US" w:eastAsia="zh-CN"/>
        </w:rPr>
        <w:t>未</w:t>
      </w:r>
      <w:r>
        <w:rPr>
          <w:rFonts w:cs="Times New Roman"/>
          <w:color w:val="auto"/>
          <w:highlight w:val="none"/>
        </w:rPr>
        <w:t>建设SCR并正常运行的企业每日均存在较大的超标风险。主要原因为：垃圾成分过于复杂，燃烧过程中有时会产生大量有害烟气，导致氮氧化物和氨排放瞬时值偏高，垃圾电厂脱硝工艺一般采用氨水或者尿素作为还原剂，当氮氧化物瞬时较高时，为确保氮氧化物达标排放，企业会增加氨的喷射，进而会出现小时氨逃逸量较大，氨排放小时浓度偏高，根据现有焚烧炉运行情况调查，对未安装SCR催化还原脱硝设施的，每天约有2个小时氨小时浓度超过12mg/m</w:t>
      </w:r>
      <w:r>
        <w:rPr>
          <w:rFonts w:cs="Times New Roman"/>
          <w:color w:val="auto"/>
          <w:highlight w:val="none"/>
          <w:vertAlign w:val="superscript"/>
        </w:rPr>
        <w:t>3</w:t>
      </w:r>
      <w:r>
        <w:rPr>
          <w:rFonts w:cs="Times New Roman"/>
          <w:color w:val="auto"/>
          <w:highlight w:val="none"/>
        </w:rPr>
        <w:t>的几率较高</w:t>
      </w:r>
      <w:bookmarkStart w:id="179" w:name="_Hlk120602070"/>
      <w:r>
        <w:rPr>
          <w:rFonts w:cs="Times New Roman"/>
          <w:color w:val="auto"/>
          <w:highlight w:val="none"/>
        </w:rPr>
        <w:t>，</w:t>
      </w:r>
      <w:bookmarkEnd w:id="179"/>
      <w:r>
        <w:rPr>
          <w:rFonts w:cs="Times New Roman"/>
          <w:color w:val="auto"/>
          <w:highlight w:val="none"/>
        </w:rPr>
        <w:t>有时甚至会超过20mg/m</w:t>
      </w:r>
      <w:r>
        <w:rPr>
          <w:rFonts w:cs="Times New Roman"/>
          <w:color w:val="auto"/>
          <w:highlight w:val="none"/>
          <w:vertAlign w:val="superscript"/>
        </w:rPr>
        <w:t>3</w:t>
      </w:r>
      <w:r>
        <w:rPr>
          <w:rFonts w:cs="Times New Roman"/>
          <w:color w:val="auto"/>
          <w:highlight w:val="none"/>
        </w:rPr>
        <w:t>，企业通过加强管理</w:t>
      </w:r>
      <w:bookmarkStart w:id="180" w:name="_Hlk120210662"/>
      <w:r>
        <w:rPr>
          <w:rFonts w:cs="Times New Roman"/>
          <w:color w:val="auto"/>
          <w:highlight w:val="none"/>
        </w:rPr>
        <w:t>，</w:t>
      </w:r>
      <w:bookmarkEnd w:id="180"/>
      <w:r>
        <w:rPr>
          <w:rFonts w:cs="Times New Roman"/>
          <w:color w:val="auto"/>
          <w:highlight w:val="none"/>
        </w:rPr>
        <w:t>注意调整燃烧，可以控制到日均值低于8</w:t>
      </w:r>
      <w:bookmarkStart w:id="181" w:name="_Hlk120210541"/>
      <w:r>
        <w:rPr>
          <w:rFonts w:cs="Times New Roman"/>
          <w:color w:val="auto"/>
          <w:highlight w:val="none"/>
        </w:rPr>
        <w:t>mg/m</w:t>
      </w:r>
      <w:r>
        <w:rPr>
          <w:rFonts w:cs="Times New Roman"/>
          <w:color w:val="auto"/>
          <w:highlight w:val="none"/>
          <w:vertAlign w:val="superscript"/>
        </w:rPr>
        <w:t>3</w:t>
      </w:r>
      <w:bookmarkEnd w:id="181"/>
      <w:r>
        <w:rPr>
          <w:rFonts w:cs="Times New Roman"/>
          <w:color w:val="auto"/>
          <w:highlight w:val="none"/>
        </w:rPr>
        <w:t>。若企业每日有2个小时氨排放达到12 mg/m</w:t>
      </w:r>
      <w:r>
        <w:rPr>
          <w:rFonts w:cs="Times New Roman"/>
          <w:color w:val="auto"/>
          <w:highlight w:val="none"/>
          <w:vertAlign w:val="superscript"/>
        </w:rPr>
        <w:t>3</w:t>
      </w:r>
      <w:r>
        <w:rPr>
          <w:rFonts w:cs="Times New Roman"/>
          <w:color w:val="auto"/>
          <w:highlight w:val="none"/>
        </w:rPr>
        <w:t>，剩余22个小时氨的排放应控制在7.6mg/m</w:t>
      </w:r>
      <w:r>
        <w:rPr>
          <w:rFonts w:cs="Times New Roman"/>
          <w:color w:val="auto"/>
          <w:highlight w:val="none"/>
          <w:vertAlign w:val="superscript"/>
        </w:rPr>
        <w:t>3</w:t>
      </w:r>
      <w:r>
        <w:rPr>
          <w:rFonts w:cs="Times New Roman"/>
          <w:color w:val="auto"/>
          <w:highlight w:val="none"/>
        </w:rPr>
        <w:t>以内才能达到日均值不高于8mg/m</w:t>
      </w:r>
      <w:r>
        <w:rPr>
          <w:rFonts w:cs="Times New Roman"/>
          <w:color w:val="auto"/>
          <w:highlight w:val="none"/>
          <w:vertAlign w:val="superscript"/>
        </w:rPr>
        <w:t>3</w:t>
      </w:r>
      <w:r>
        <w:rPr>
          <w:rFonts w:cs="Times New Roman"/>
          <w:color w:val="auto"/>
          <w:highlight w:val="none"/>
        </w:rPr>
        <w:t>。</w:t>
      </w:r>
    </w:p>
    <w:p>
      <w:pPr>
        <w:spacing w:line="360" w:lineRule="auto"/>
        <w:ind w:firstLine="640"/>
        <w:rPr>
          <w:rFonts w:cs="Times New Roman"/>
          <w:color w:val="auto"/>
          <w:highlight w:val="none"/>
        </w:rPr>
      </w:pPr>
      <w:r>
        <w:rPr>
          <w:rFonts w:cs="Times New Roman"/>
          <w:color w:val="auto"/>
          <w:highlight w:val="none"/>
        </w:rPr>
        <w:t>经过广泛调研和与垃圾焚烧企业的深度沟通，结合企业的大量在线氨的监测数据，建议</w:t>
      </w:r>
      <w:bookmarkStart w:id="182" w:name="_Hlk120603071"/>
      <w:r>
        <w:rPr>
          <w:rFonts w:cs="Times New Roman"/>
          <w:color w:val="auto"/>
          <w:highlight w:val="none"/>
        </w:rPr>
        <w:t>氨的小时均值定为</w:t>
      </w:r>
      <w:bookmarkStart w:id="183" w:name="_Hlk120210575"/>
      <w:r>
        <w:rPr>
          <w:rFonts w:cs="Times New Roman"/>
          <w:color w:val="auto"/>
          <w:highlight w:val="none"/>
        </w:rPr>
        <w:t>12mg/m</w:t>
      </w:r>
      <w:r>
        <w:rPr>
          <w:rFonts w:cs="Times New Roman"/>
          <w:color w:val="auto"/>
          <w:highlight w:val="none"/>
          <w:vertAlign w:val="superscript"/>
        </w:rPr>
        <w:t>3</w:t>
      </w:r>
      <w:bookmarkEnd w:id="183"/>
      <w:r>
        <w:rPr>
          <w:rFonts w:cs="Times New Roman"/>
          <w:color w:val="auto"/>
          <w:highlight w:val="none"/>
        </w:rPr>
        <w:t>，日均值定为</w:t>
      </w:r>
      <w:bookmarkStart w:id="184" w:name="_Hlk120211173"/>
      <w:r>
        <w:rPr>
          <w:rFonts w:cs="Times New Roman"/>
          <w:color w:val="auto"/>
          <w:highlight w:val="none"/>
        </w:rPr>
        <w:t>8mg/m</w:t>
      </w:r>
      <w:r>
        <w:rPr>
          <w:rFonts w:cs="Times New Roman"/>
          <w:color w:val="auto"/>
          <w:highlight w:val="none"/>
          <w:vertAlign w:val="superscript"/>
        </w:rPr>
        <w:t>3</w:t>
      </w:r>
      <w:bookmarkEnd w:id="182"/>
      <w:bookmarkEnd w:id="184"/>
      <w:r>
        <w:rPr>
          <w:rFonts w:cs="Times New Roman"/>
          <w:color w:val="auto"/>
          <w:highlight w:val="none"/>
        </w:rPr>
        <w:t>。这样规定氨的排放限值有三个好处：一是在全国也是个创新，创新点包括氨的排放限值较外省增加了日均值、也增加了以在线数据作为氨达标判定的依据；二是企业觉得标准定得比较客观、较外省宽松，易于实施；三是有利于改善环境空气质量，因为河北、天津、山东、江苏对氨的小时均值超标判定，仅是以每月的例行监测和环保部门现场执法监测作为依据，其余时间段氨的排放受控程度较差。</w:t>
      </w:r>
    </w:p>
    <w:p>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仿宋_GB2312" w:cs="Times New Roman"/>
          <w:color w:val="auto"/>
          <w:kern w:val="2"/>
          <w:szCs w:val="22"/>
          <w:highlight w:val="none"/>
          <w:lang w:val="en-US" w:eastAsia="zh-CN"/>
        </w:rPr>
      </w:pPr>
      <w:bookmarkStart w:id="185" w:name="_Toc23196"/>
      <w:r>
        <w:rPr>
          <w:rFonts w:hint="default" w:ascii="Times New Roman" w:hAnsi="Times New Roman" w:eastAsia="仿宋_GB2312" w:cs="Times New Roman"/>
          <w:color w:val="auto"/>
          <w:kern w:val="2"/>
          <w:szCs w:val="22"/>
          <w:highlight w:val="none"/>
          <w:lang w:val="en-US" w:eastAsia="zh-CN"/>
        </w:rPr>
        <w:t>7.与国家法律法规和强制性标准的关系</w:t>
      </w:r>
      <w:bookmarkEnd w:id="170"/>
      <w:bookmarkEnd w:id="171"/>
      <w:bookmarkEnd w:id="185"/>
    </w:p>
    <w:p>
      <w:pPr>
        <w:spacing w:line="360" w:lineRule="auto"/>
        <w:ind w:firstLine="640"/>
        <w:rPr>
          <w:rFonts w:cs="Times New Roman"/>
          <w:color w:val="auto"/>
          <w:highlight w:val="none"/>
        </w:rPr>
      </w:pPr>
      <w:r>
        <w:rPr>
          <w:rFonts w:cs="Times New Roman"/>
          <w:color w:val="auto"/>
          <w:highlight w:val="none"/>
        </w:rPr>
        <w:t>《中华人民共和国环境保护法》《中华人民共和国大气污染防治法》和《河南省大气污染防治条例》规定，省人民政府对国家大气环境质量标准和大气污染物排放标准中未作规定的项目，可以制定本省地方标准；对国家大气环境质量标准和大气污染物排放标准中已作规定的项目，可以制定严于国家标准的地方标准；对国家大气环境质量标准和大气污染物排放标准中已作规定的项目，可以制定严于国家标准的地方标准。本标准规定了河南省生活垃圾焚烧大气污染物排放控制要求、监测和监督管理办法等，内容符合法律法规和环境管理要求。本标准发布实施后促进防治环境污染、改善环境质量、促进生活垃圾焚烧行业技术进步和可持续发展。</w:t>
      </w:r>
    </w:p>
    <w:p>
      <w:pPr>
        <w:spacing w:line="360" w:lineRule="auto"/>
        <w:ind w:firstLine="640"/>
        <w:rPr>
          <w:rFonts w:cs="Times New Roman"/>
          <w:color w:val="auto"/>
          <w:highlight w:val="none"/>
        </w:rPr>
      </w:pPr>
      <w:r>
        <w:rPr>
          <w:rFonts w:cs="Times New Roman"/>
          <w:color w:val="auto"/>
          <w:highlight w:val="none"/>
        </w:rPr>
        <w:t>本标准属于强制性标准，既是生态环境保护法律的组成部分，也是生态环境执法必不可少的依据。</w:t>
      </w:r>
    </w:p>
    <w:p>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仿宋_GB2312" w:cs="Times New Roman"/>
          <w:color w:val="auto"/>
          <w:kern w:val="2"/>
          <w:szCs w:val="22"/>
          <w:highlight w:val="none"/>
          <w:lang w:val="en-US" w:eastAsia="zh-CN"/>
        </w:rPr>
      </w:pPr>
      <w:bookmarkStart w:id="186" w:name="_Toc24631"/>
      <w:bookmarkStart w:id="187" w:name="_Toc71552518"/>
      <w:r>
        <w:rPr>
          <w:rFonts w:hint="eastAsia" w:ascii="Times New Roman" w:hAnsi="Times New Roman" w:eastAsia="仿宋_GB2312" w:cs="Times New Roman"/>
          <w:color w:val="auto"/>
          <w:kern w:val="2"/>
          <w:szCs w:val="22"/>
          <w:highlight w:val="none"/>
          <w:lang w:val="en-US" w:eastAsia="zh-CN"/>
        </w:rPr>
        <w:t>8.</w:t>
      </w:r>
      <w:r>
        <w:rPr>
          <w:rFonts w:hint="default" w:ascii="Times New Roman" w:hAnsi="Times New Roman" w:eastAsia="仿宋_GB2312" w:cs="Times New Roman"/>
          <w:color w:val="auto"/>
          <w:kern w:val="2"/>
          <w:szCs w:val="22"/>
          <w:highlight w:val="none"/>
          <w:lang w:val="en-US" w:eastAsia="zh-CN"/>
        </w:rPr>
        <w:t>标准实施可行性、环境及经济效益分析</w:t>
      </w:r>
      <w:bookmarkEnd w:id="186"/>
      <w:bookmarkEnd w:id="187"/>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188" w:name="_Toc1253"/>
      <w:bookmarkStart w:id="189" w:name="_Hlk120600027"/>
      <w:r>
        <w:rPr>
          <w:rFonts w:ascii="Times New Roman" w:hAnsi="Times New Roman" w:eastAsia="仿宋_GB2312" w:cs="Times New Roman"/>
          <w:b/>
          <w:bCs/>
          <w:color w:val="auto"/>
          <w:szCs w:val="22"/>
          <w:highlight w:val="none"/>
        </w:rPr>
        <w:t>8.1</w:t>
      </w:r>
      <w:r>
        <w:rPr>
          <w:rFonts w:hint="eastAsia" w:ascii="Times New Roman" w:hAnsi="Times New Roman" w:eastAsia="仿宋_GB2312" w:cs="Times New Roman"/>
          <w:b/>
          <w:bCs/>
          <w:color w:val="auto"/>
          <w:szCs w:val="22"/>
          <w:highlight w:val="none"/>
          <w:lang w:val="en-US" w:eastAsia="zh-CN"/>
        </w:rPr>
        <w:t xml:space="preserve"> </w:t>
      </w:r>
      <w:r>
        <w:rPr>
          <w:rFonts w:ascii="Times New Roman" w:hAnsi="Times New Roman" w:eastAsia="仿宋_GB2312" w:cs="Times New Roman"/>
          <w:b/>
          <w:bCs/>
          <w:color w:val="auto"/>
          <w:szCs w:val="22"/>
          <w:highlight w:val="none"/>
        </w:rPr>
        <w:t>标准实施的可行性分析</w:t>
      </w:r>
      <w:bookmarkEnd w:id="188"/>
      <w:r>
        <w:rPr>
          <w:rFonts w:ascii="Times New Roman" w:hAnsi="Times New Roman" w:eastAsia="仿宋_GB2312" w:cs="Times New Roman"/>
          <w:b/>
          <w:bCs/>
          <w:color w:val="auto"/>
          <w:szCs w:val="22"/>
          <w:highlight w:val="none"/>
        </w:rPr>
        <w:t xml:space="preserve"> </w:t>
      </w:r>
    </w:p>
    <w:bookmarkEnd w:id="189"/>
    <w:p>
      <w:pPr>
        <w:pStyle w:val="4"/>
        <w:spacing w:before="0" w:beforeLines="0" w:after="0" w:afterLines="0" w:line="360" w:lineRule="auto"/>
        <w:ind w:left="0" w:leftChars="0" w:firstLine="0" w:firstLineChars="0"/>
        <w:rPr>
          <w:rFonts w:eastAsia="仿宋_GB2312" w:cs="Times New Roman"/>
          <w:b/>
          <w:bCs/>
          <w:color w:val="auto"/>
          <w:szCs w:val="22"/>
          <w:highlight w:val="none"/>
        </w:rPr>
      </w:pPr>
      <w:bookmarkStart w:id="190" w:name="_Toc1545"/>
      <w:bookmarkStart w:id="191" w:name="_Toc32335"/>
      <w:bookmarkStart w:id="192" w:name="_Toc4259"/>
      <w:r>
        <w:rPr>
          <w:rFonts w:eastAsia="仿宋_GB2312" w:cs="Times New Roman"/>
          <w:b/>
          <w:bCs/>
          <w:color w:val="auto"/>
          <w:szCs w:val="22"/>
          <w:highlight w:val="none"/>
        </w:rPr>
        <w:t>8.1.1技术可行性分析</w:t>
      </w:r>
      <w:bookmarkEnd w:id="190"/>
      <w:bookmarkEnd w:id="191"/>
      <w:bookmarkEnd w:id="192"/>
    </w:p>
    <w:p>
      <w:pPr>
        <w:spacing w:line="360" w:lineRule="auto"/>
        <w:ind w:firstLine="640"/>
        <w:rPr>
          <w:rFonts w:cs="Times New Roman"/>
          <w:color w:val="auto"/>
          <w:highlight w:val="none"/>
        </w:rPr>
      </w:pPr>
      <w:r>
        <w:rPr>
          <w:rFonts w:cs="Times New Roman"/>
          <w:color w:val="auto"/>
          <w:highlight w:val="none"/>
        </w:rPr>
        <w:t>我省生活垃圾焚烧企业的</w:t>
      </w:r>
      <w:r>
        <w:rPr>
          <w:rFonts w:cs="Times New Roman"/>
          <w:color w:val="auto"/>
          <w:szCs w:val="32"/>
          <w:highlight w:val="none"/>
        </w:rPr>
        <w:t>烟气处理工艺</w:t>
      </w:r>
      <w:r>
        <w:rPr>
          <w:rFonts w:cs="Times New Roman"/>
          <w:color w:val="auto"/>
          <w:highlight w:val="none"/>
        </w:rPr>
        <w:t>几乎都是采用</w:t>
      </w:r>
      <w:r>
        <w:rPr>
          <w:rFonts w:cs="Times New Roman"/>
          <w:color w:val="auto"/>
          <w:szCs w:val="32"/>
          <w:highlight w:val="none"/>
        </w:rPr>
        <w:t>的SNCR脱硝+半干法脱硫脱酸+干法脱硫脱酸+活性炭喷射去除二恶英和重金属+布袋除尘器去除颗粒物，少数企业增加了SCR或PNCR处理工艺，</w:t>
      </w:r>
      <w:r>
        <w:rPr>
          <w:rFonts w:cs="Times New Roman"/>
          <w:color w:val="auto"/>
          <w:highlight w:val="none"/>
        </w:rPr>
        <w:t>治理技术较为成熟，现有生活垃圾焚烧企业污染防治设施提标改造后，可以满足本标准的排放限值要求，不存在技术风险。</w:t>
      </w:r>
    </w:p>
    <w:p>
      <w:pPr>
        <w:pStyle w:val="4"/>
        <w:spacing w:before="0" w:beforeLines="0" w:after="0" w:afterLines="0" w:line="360" w:lineRule="auto"/>
        <w:ind w:left="0" w:leftChars="0" w:firstLine="0" w:firstLineChars="0"/>
        <w:rPr>
          <w:rFonts w:eastAsia="仿宋_GB2312" w:cs="Times New Roman"/>
          <w:b/>
          <w:bCs/>
          <w:color w:val="auto"/>
          <w:szCs w:val="22"/>
          <w:highlight w:val="none"/>
        </w:rPr>
      </w:pPr>
      <w:bookmarkStart w:id="193" w:name="_Toc17920"/>
      <w:bookmarkStart w:id="194" w:name="_Toc25247"/>
      <w:r>
        <w:rPr>
          <w:rFonts w:eastAsia="仿宋_GB2312" w:cs="Times New Roman"/>
          <w:b/>
          <w:bCs/>
          <w:color w:val="auto"/>
          <w:szCs w:val="22"/>
          <w:highlight w:val="none"/>
        </w:rPr>
        <w:t>8.1.2经济可行性分析</w:t>
      </w:r>
      <w:bookmarkEnd w:id="193"/>
      <w:bookmarkEnd w:id="194"/>
    </w:p>
    <w:p>
      <w:pPr>
        <w:spacing w:line="360" w:lineRule="auto"/>
        <w:ind w:firstLine="640"/>
        <w:rPr>
          <w:rFonts w:cs="Times New Roman"/>
          <w:color w:val="auto"/>
          <w:szCs w:val="32"/>
          <w:highlight w:val="none"/>
        </w:rPr>
      </w:pPr>
      <w:r>
        <w:rPr>
          <w:rFonts w:cs="Times New Roman"/>
          <w:color w:val="auto"/>
          <w:szCs w:val="32"/>
          <w:highlight w:val="none"/>
        </w:rPr>
        <w:t>考虑到生活垃圾焚烧企业本省就是带有社会公益性的行业，且普遍面临应收款（包括垃圾处理费、国家电价补贴、省级电价补贴）被拖欠较为严重的情况，本标准在制定过程中兼顾既能减少污染物排放又不给企业增加经营压力的总体思路，确保标准实施的经济可行性。</w:t>
      </w:r>
    </w:p>
    <w:p>
      <w:pPr>
        <w:ind w:firstLine="640"/>
        <w:rPr>
          <w:rFonts w:cs="Times New Roman"/>
          <w:color w:val="auto"/>
          <w:szCs w:val="32"/>
          <w:highlight w:val="none"/>
        </w:rPr>
      </w:pPr>
      <w:r>
        <w:rPr>
          <w:rFonts w:cs="Times New Roman"/>
          <w:color w:val="auto"/>
          <w:szCs w:val="32"/>
          <w:highlight w:val="none"/>
        </w:rPr>
        <w:t>目前，全省现有生活垃圾焚烧企业多数采用“SNCR脱硝+半干法、干法脱硫脱酸+活性炭喷射去除二恶英+布袋除尘器去除重金属和颗粒物”工艺，该工艺条件下，除氮氧化物和氨外，其他因子基本能达标排放，本标准实施的难点主要在于</w:t>
      </w:r>
      <w:bookmarkStart w:id="195" w:name="_Hlk120594988"/>
      <w:r>
        <w:rPr>
          <w:rFonts w:cs="Times New Roman"/>
          <w:color w:val="auto"/>
          <w:szCs w:val="32"/>
          <w:highlight w:val="none"/>
        </w:rPr>
        <w:t>氮氧化物和氨</w:t>
      </w:r>
      <w:bookmarkEnd w:id="195"/>
      <w:r>
        <w:rPr>
          <w:rFonts w:cs="Times New Roman"/>
          <w:color w:val="auto"/>
          <w:szCs w:val="32"/>
          <w:highlight w:val="none"/>
        </w:rPr>
        <w:t>2项因子的长期稳定达标排放，目前我省已建成的64家企业，33家已完成提标改造，其余31家尚未完成提标改造。完成改造的33家中有19家采用“SNCR+SCR”工艺（部分企业建成未投用），有12家采取“SNCR+PNCR”工艺，有2家采取“SNCR+ZYY”工艺。运行情况表明采用SCR+SNCR工艺的，氮氧化物和氨均能稳定达到本标准排放限值要求；采用SNCR+ZYY、SNCR+PNCR等工艺的，通过加强精细化管理，提高污染治理设施去除效率，基本能满足本标准氮氧化物和氨的排放限值要求，33家已经提标改造的企业无需增加投资成本；31家未完成提标改造的企业通过提标改造且不增加太多投资成本和运行成本，加强精细化管理，也可满足本标准各项污染物排放限值。</w:t>
      </w:r>
    </w:p>
    <w:p>
      <w:pPr>
        <w:ind w:firstLine="640"/>
        <w:rPr>
          <w:rFonts w:cs="Times New Roman"/>
          <w:color w:val="auto"/>
          <w:szCs w:val="32"/>
          <w:highlight w:val="none"/>
        </w:rPr>
      </w:pPr>
      <w:bookmarkStart w:id="196" w:name="_Hlk120601748"/>
      <w:r>
        <w:rPr>
          <w:rFonts w:cs="Times New Roman"/>
          <w:color w:val="auto"/>
          <w:szCs w:val="32"/>
          <w:highlight w:val="none"/>
        </w:rPr>
        <w:t>另外考虑到垃圾成分过于复杂，燃烧过程中有时会产生大量有害烟气，导致氮氧化物和氨排放瞬时值偏高，标准编制组在全国首次提出较其他省份放宽氨的小时均值（8mg/m</w:t>
      </w:r>
      <w:r>
        <w:rPr>
          <w:rFonts w:cs="Times New Roman"/>
          <w:color w:val="auto"/>
          <w:szCs w:val="32"/>
          <w:highlight w:val="none"/>
          <w:vertAlign w:val="superscript"/>
        </w:rPr>
        <w:t>3</w:t>
      </w:r>
      <w:r>
        <w:rPr>
          <w:rFonts w:cs="Times New Roman"/>
          <w:color w:val="auto"/>
          <w:szCs w:val="32"/>
          <w:highlight w:val="none"/>
        </w:rPr>
        <w:t>放宽到12mg/m</w:t>
      </w:r>
      <w:r>
        <w:rPr>
          <w:rFonts w:cs="Times New Roman"/>
          <w:color w:val="auto"/>
          <w:szCs w:val="32"/>
          <w:highlight w:val="none"/>
          <w:vertAlign w:val="superscript"/>
        </w:rPr>
        <w:t>3</w:t>
      </w:r>
      <w:r>
        <w:rPr>
          <w:rFonts w:cs="Times New Roman"/>
          <w:color w:val="auto"/>
          <w:szCs w:val="32"/>
          <w:highlight w:val="none"/>
        </w:rPr>
        <w:t>），同时增加氨的日均值控制</w:t>
      </w:r>
      <w:r>
        <w:rPr>
          <w:rFonts w:eastAsia="仿宋" w:cs="Times New Roman"/>
          <w:color w:val="auto"/>
          <w:szCs w:val="32"/>
          <w:highlight w:val="none"/>
        </w:rPr>
        <w:t>8mg/m</w:t>
      </w:r>
      <w:r>
        <w:rPr>
          <w:rFonts w:eastAsia="仿宋" w:cs="Times New Roman"/>
          <w:color w:val="auto"/>
          <w:szCs w:val="32"/>
          <w:highlight w:val="none"/>
          <w:vertAlign w:val="superscript"/>
        </w:rPr>
        <w:t>3</w:t>
      </w:r>
      <w:r>
        <w:rPr>
          <w:rFonts w:cs="Times New Roman"/>
          <w:color w:val="auto"/>
          <w:szCs w:val="32"/>
          <w:highlight w:val="none"/>
        </w:rPr>
        <w:t>，这样既可以促进生活垃圾焚烧企业控制每日氨排放总量，又兼顾企业实际运行情况，提高了标准实施的可行性。</w:t>
      </w:r>
    </w:p>
    <w:bookmarkEnd w:id="196"/>
    <w:p>
      <w:pPr>
        <w:ind w:firstLine="640"/>
        <w:rPr>
          <w:rFonts w:cs="Times New Roman"/>
          <w:color w:val="auto"/>
          <w:szCs w:val="32"/>
          <w:highlight w:val="none"/>
        </w:rPr>
      </w:pPr>
      <w:r>
        <w:rPr>
          <w:rFonts w:cs="Times New Roman"/>
          <w:color w:val="auto"/>
          <w:szCs w:val="32"/>
          <w:highlight w:val="none"/>
        </w:rPr>
        <w:t>本次以河南省已完成脱硝污染治理设施升级改造的3家企业为例，分析针对氮氧化物和氨排放控制提标改造的投资成本和运行成本。</w:t>
      </w:r>
    </w:p>
    <w:p>
      <w:pPr>
        <w:ind w:firstLine="566" w:firstLineChars="177"/>
        <w:rPr>
          <w:rFonts w:cs="Times New Roman"/>
          <w:color w:val="auto"/>
          <w:szCs w:val="32"/>
          <w:highlight w:val="none"/>
        </w:rPr>
      </w:pPr>
      <w:r>
        <w:rPr>
          <w:rFonts w:cs="Times New Roman"/>
          <w:color w:val="auto"/>
          <w:szCs w:val="32"/>
          <w:highlight w:val="none"/>
        </w:rPr>
        <w:t>（1）企业1：采用SNCR+PNCR技术脱硝</w:t>
      </w:r>
    </w:p>
    <w:p>
      <w:pPr>
        <w:ind w:firstLine="640"/>
        <w:rPr>
          <w:rFonts w:cs="Times New Roman"/>
          <w:color w:val="auto"/>
          <w:szCs w:val="32"/>
          <w:highlight w:val="none"/>
        </w:rPr>
      </w:pPr>
      <w:r>
        <w:rPr>
          <w:rFonts w:cs="Times New Roman"/>
          <w:color w:val="auto"/>
          <w:szCs w:val="32"/>
          <w:highlight w:val="none"/>
        </w:rPr>
        <w:t>该企业投资350万元（吨垃圾投资成本约0.5万元）对污染治理设施进行升级改造，除尘和脱酸系统无需改造，不增加投资成本，主要是改造脱硝设施，增加PNCR系统。</w:t>
      </w:r>
    </w:p>
    <w:p>
      <w:pPr>
        <w:ind w:firstLine="640"/>
        <w:rPr>
          <w:rFonts w:cs="Times New Roman"/>
          <w:color w:val="auto"/>
          <w:szCs w:val="32"/>
          <w:highlight w:val="none"/>
        </w:rPr>
      </w:pPr>
      <w:r>
        <w:rPr>
          <w:rFonts w:cs="Times New Roman"/>
          <w:color w:val="auto"/>
          <w:szCs w:val="32"/>
          <w:highlight w:val="none"/>
        </w:rPr>
        <w:t>每年增加运行成本约250万元，吨垃圾增加物料、电费等运行成本约9元/吨垃圾，设备维护、折旧摊销、财务等运行成本约1元/吨垃圾，合计PNCR技术总运行费用约10元/吨垃圾。</w:t>
      </w:r>
    </w:p>
    <w:p>
      <w:pPr>
        <w:ind w:firstLine="640"/>
        <w:rPr>
          <w:rFonts w:cs="Times New Roman"/>
          <w:color w:val="auto"/>
          <w:szCs w:val="32"/>
          <w:highlight w:val="none"/>
        </w:rPr>
      </w:pPr>
      <w:r>
        <w:rPr>
          <w:rFonts w:cs="Times New Roman"/>
          <w:color w:val="auto"/>
          <w:szCs w:val="32"/>
          <w:highlight w:val="none"/>
        </w:rPr>
        <w:t>（2）企业2：采用</w:t>
      </w:r>
      <w:bookmarkStart w:id="197" w:name="_Hlk120604160"/>
      <w:r>
        <w:rPr>
          <w:rFonts w:cs="Times New Roman"/>
          <w:color w:val="auto"/>
          <w:szCs w:val="32"/>
          <w:highlight w:val="none"/>
        </w:rPr>
        <w:t>SCR+SNCR</w:t>
      </w:r>
      <w:bookmarkEnd w:id="197"/>
      <w:r>
        <w:rPr>
          <w:rFonts w:cs="Times New Roman"/>
          <w:color w:val="auto"/>
          <w:szCs w:val="32"/>
          <w:highlight w:val="none"/>
        </w:rPr>
        <w:t>技术脱硝</w:t>
      </w:r>
    </w:p>
    <w:p>
      <w:pPr>
        <w:ind w:firstLine="640"/>
        <w:rPr>
          <w:rFonts w:cs="Times New Roman"/>
          <w:color w:val="auto"/>
          <w:szCs w:val="32"/>
          <w:highlight w:val="none"/>
        </w:rPr>
      </w:pPr>
      <w:r>
        <w:rPr>
          <w:rFonts w:cs="Times New Roman"/>
          <w:color w:val="auto"/>
          <w:szCs w:val="32"/>
          <w:highlight w:val="none"/>
        </w:rPr>
        <w:t>该企业投资2400万元（吨垃圾投资成本约2.4万元）对污染治理设施进行升级改造，除尘和脱酸系统无需改造，不增加投资成本，主要是改造脱硝设施，增加SCR系统。</w:t>
      </w:r>
    </w:p>
    <w:p>
      <w:pPr>
        <w:ind w:firstLine="640"/>
        <w:rPr>
          <w:rFonts w:cs="Times New Roman"/>
          <w:color w:val="auto"/>
          <w:szCs w:val="32"/>
          <w:highlight w:val="none"/>
        </w:rPr>
      </w:pPr>
      <w:r>
        <w:rPr>
          <w:rFonts w:cs="Times New Roman"/>
          <w:color w:val="auto"/>
          <w:szCs w:val="32"/>
          <w:highlight w:val="none"/>
        </w:rPr>
        <w:t>据预测，每年增加运行成本约1100万元，氨水、催化剂、除盐水、电耗、蒸汽加热等运行成本约27元/吨垃圾，设备维护、催化剂处理、折旧摊销、财务等运行成本约13元/吨垃圾，合计采用SCR+SNCR烟气脱硝技术总运行费用约40元/吨垃圾。</w:t>
      </w:r>
    </w:p>
    <w:p>
      <w:pPr>
        <w:ind w:firstLine="640"/>
        <w:rPr>
          <w:rFonts w:cs="Times New Roman"/>
          <w:color w:val="auto"/>
          <w:szCs w:val="32"/>
          <w:highlight w:val="none"/>
        </w:rPr>
      </w:pPr>
      <w:r>
        <w:rPr>
          <w:rFonts w:cs="Times New Roman"/>
          <w:color w:val="auto"/>
          <w:szCs w:val="32"/>
          <w:highlight w:val="none"/>
        </w:rPr>
        <w:t>（3）企业3：采用</w:t>
      </w:r>
      <w:bookmarkStart w:id="198" w:name="_Hlk120604274"/>
      <w:r>
        <w:rPr>
          <w:rFonts w:cs="Times New Roman"/>
          <w:color w:val="auto"/>
          <w:szCs w:val="32"/>
          <w:highlight w:val="none"/>
        </w:rPr>
        <w:t>SCR+SNCR</w:t>
      </w:r>
      <w:bookmarkEnd w:id="198"/>
      <w:r>
        <w:rPr>
          <w:rFonts w:cs="Times New Roman"/>
          <w:color w:val="auto"/>
          <w:szCs w:val="32"/>
          <w:highlight w:val="none"/>
        </w:rPr>
        <w:t>技术脱硝</w:t>
      </w:r>
    </w:p>
    <w:p>
      <w:pPr>
        <w:ind w:firstLine="640"/>
        <w:rPr>
          <w:rFonts w:cs="Times New Roman"/>
          <w:color w:val="auto"/>
          <w:szCs w:val="32"/>
          <w:highlight w:val="none"/>
        </w:rPr>
      </w:pPr>
      <w:r>
        <w:rPr>
          <w:rFonts w:cs="Times New Roman"/>
          <w:color w:val="auto"/>
          <w:szCs w:val="32"/>
          <w:highlight w:val="none"/>
        </w:rPr>
        <w:t>该企业2条750t/d焚烧线，投资3500万元（吨垃圾投资成本约2.3万元）对污染治理设施进行升级改造，除尘系统无需改造，不增加投资成本，主要是改造脱硝设施，增加SCR系统。</w:t>
      </w:r>
    </w:p>
    <w:p>
      <w:pPr>
        <w:ind w:firstLine="640"/>
        <w:rPr>
          <w:rFonts w:cs="Times New Roman"/>
          <w:color w:val="auto"/>
          <w:szCs w:val="32"/>
          <w:highlight w:val="none"/>
        </w:rPr>
      </w:pPr>
      <w:r>
        <w:rPr>
          <w:rFonts w:cs="Times New Roman"/>
          <w:color w:val="auto"/>
          <w:szCs w:val="32"/>
          <w:highlight w:val="none"/>
        </w:rPr>
        <w:t>每年增加运行成本约1900万元，氨水、催化剂、除盐水、电耗、蒸汽加热等运行成本约24元/吨垃圾，设备维护、折旧摊销、财务等运行成本约9元/吨垃圾，合计采用SCR+SNCR烟气脱硝技术总运行费用约33元/吨垃圾。</w:t>
      </w:r>
    </w:p>
    <w:p>
      <w:pPr>
        <w:ind w:firstLine="640"/>
        <w:rPr>
          <w:rFonts w:cs="Times New Roman"/>
          <w:color w:val="auto"/>
          <w:szCs w:val="32"/>
          <w:highlight w:val="none"/>
        </w:rPr>
      </w:pPr>
      <w:r>
        <w:rPr>
          <w:rFonts w:cs="Times New Roman"/>
          <w:color w:val="auto"/>
          <w:szCs w:val="32"/>
          <w:highlight w:val="none"/>
        </w:rPr>
        <w:t>根据现场调研和对3家企业的详细分析，企业采用SNCR，运行管理费用在3~5元/吨垃圾；增加PNCR总运行费用约8~12元/吨垃圾；增加SCR技术，运行成本在30~40元/吨垃圾。河南省生活垃圾焚烧发电企业焚烧1吨垃圾发电的成本（包括人工成本、运营费、设备折旧费、管理费、其他费用等）在195元左右，收入（包括垃圾处理费、国家电价补贴、省级电价补贴等费用）在220元左右，处理1吨垃圾的利润约为30元。</w:t>
      </w:r>
    </w:p>
    <w:p>
      <w:pPr>
        <w:pStyle w:val="3"/>
        <w:spacing w:before="156" w:after="156" w:line="360" w:lineRule="auto"/>
        <w:ind w:left="0" w:leftChars="0" w:firstLine="0" w:firstLineChars="0"/>
        <w:rPr>
          <w:rFonts w:ascii="Times New Roman" w:hAnsi="Times New Roman" w:eastAsia="仿宋_GB2312" w:cs="Times New Roman"/>
          <w:b/>
          <w:bCs/>
          <w:color w:val="auto"/>
          <w:szCs w:val="22"/>
          <w:highlight w:val="none"/>
        </w:rPr>
      </w:pPr>
      <w:bookmarkStart w:id="199" w:name="_Toc18726"/>
      <w:r>
        <w:rPr>
          <w:rFonts w:ascii="Times New Roman" w:hAnsi="Times New Roman" w:eastAsia="仿宋_GB2312" w:cs="Times New Roman"/>
          <w:b/>
          <w:bCs/>
          <w:color w:val="auto"/>
          <w:szCs w:val="22"/>
          <w:highlight w:val="none"/>
        </w:rPr>
        <w:t>8.2预期效益分析</w:t>
      </w:r>
      <w:bookmarkEnd w:id="199"/>
      <w:r>
        <w:rPr>
          <w:rFonts w:ascii="Times New Roman" w:hAnsi="Times New Roman" w:eastAsia="仿宋_GB2312" w:cs="Times New Roman"/>
          <w:b/>
          <w:bCs/>
          <w:color w:val="auto"/>
          <w:szCs w:val="22"/>
          <w:highlight w:val="none"/>
        </w:rPr>
        <w:t xml:space="preserve"> </w:t>
      </w:r>
    </w:p>
    <w:p>
      <w:pPr>
        <w:spacing w:line="360" w:lineRule="auto"/>
        <w:ind w:firstLine="640"/>
        <w:rPr>
          <w:rFonts w:cs="Times New Roman"/>
          <w:color w:val="auto"/>
          <w:szCs w:val="32"/>
          <w:highlight w:val="none"/>
        </w:rPr>
      </w:pPr>
      <w:r>
        <w:rPr>
          <w:rFonts w:cs="Times New Roman"/>
          <w:color w:val="auto"/>
          <w:szCs w:val="32"/>
          <w:highlight w:val="none"/>
        </w:rPr>
        <w:t>我省生活垃圾焚烧企业根据管理要求部分企业已经完成提标改造，根据自动监测数据统计2022年以来（截止10月底）废气污染物排放量为8238.2吨，其中</w:t>
      </w:r>
      <w:r>
        <w:rPr>
          <w:rFonts w:hint="eastAsia" w:cs="Times New Roman"/>
          <w:color w:val="auto"/>
          <w:szCs w:val="32"/>
          <w:highlight w:val="none"/>
          <w:lang w:val="en-US" w:eastAsia="zh-CN"/>
        </w:rPr>
        <w:t>颗粒物、</w:t>
      </w:r>
      <w:r>
        <w:rPr>
          <w:rFonts w:cs="Times New Roman"/>
          <w:color w:val="auto"/>
          <w:szCs w:val="32"/>
          <w:highlight w:val="none"/>
        </w:rPr>
        <w:t>二氧化硫、氮氧化物排放量分别为148.2吨</w:t>
      </w:r>
      <w:r>
        <w:rPr>
          <w:rFonts w:hint="eastAsia" w:cs="Times New Roman"/>
          <w:color w:val="auto"/>
          <w:szCs w:val="32"/>
          <w:highlight w:val="none"/>
          <w:lang w:eastAsia="zh-CN"/>
        </w:rPr>
        <w:t>、</w:t>
      </w:r>
      <w:r>
        <w:rPr>
          <w:rFonts w:cs="Times New Roman"/>
          <w:color w:val="auto"/>
          <w:szCs w:val="32"/>
          <w:highlight w:val="none"/>
        </w:rPr>
        <w:t>1463.1吨、6626.9吨</w:t>
      </w:r>
      <w:r>
        <w:rPr>
          <w:rFonts w:hint="eastAsia" w:cs="Times New Roman"/>
          <w:color w:val="auto"/>
          <w:szCs w:val="32"/>
          <w:highlight w:val="none"/>
          <w:lang w:eastAsia="zh-CN"/>
        </w:rPr>
        <w:t>。</w:t>
      </w:r>
      <w:r>
        <w:rPr>
          <w:rFonts w:cs="Times New Roman"/>
          <w:color w:val="auto"/>
          <w:szCs w:val="32"/>
          <w:highlight w:val="none"/>
        </w:rPr>
        <w:t>若全部企业提标改造后，按照本标准计算，2023年废气污染物排放量约为6277.85吨，共减排约1960.3吨，其中</w:t>
      </w:r>
      <w:r>
        <w:rPr>
          <w:rFonts w:hint="eastAsia" w:cs="Times New Roman"/>
          <w:color w:val="auto"/>
          <w:szCs w:val="32"/>
          <w:highlight w:val="none"/>
          <w:lang w:val="en-US" w:eastAsia="zh-CN"/>
        </w:rPr>
        <w:t>颗粒物、</w:t>
      </w:r>
      <w:r>
        <w:rPr>
          <w:rFonts w:cs="Times New Roman"/>
          <w:color w:val="auto"/>
          <w:szCs w:val="32"/>
          <w:highlight w:val="none"/>
        </w:rPr>
        <w:t>二氧化硫、氮氧化物排放量分别减排为37.1吨、296.4吨、1626.8吨。因现在执行的《</w:t>
      </w:r>
      <w:bookmarkStart w:id="200" w:name="_Hlk120015849"/>
      <w:r>
        <w:rPr>
          <w:rFonts w:cs="Times New Roman"/>
          <w:color w:val="auto"/>
          <w:szCs w:val="32"/>
          <w:highlight w:val="none"/>
        </w:rPr>
        <w:t>生活垃圾焚烧</w:t>
      </w:r>
      <w:bookmarkEnd w:id="200"/>
      <w:r>
        <w:rPr>
          <w:rFonts w:cs="Times New Roman"/>
          <w:color w:val="auto"/>
          <w:szCs w:val="32"/>
          <w:highlight w:val="none"/>
        </w:rPr>
        <w:t>污染控制标准》（GB18485-2014）没有对氨排放限值的规定，生活垃圾焚烧企业在运行过程中为了氮氧化物能达到相关排放限值要求，通常会大量喷氨，造成氨排放浓度较高。保守测算，本标准实施后，生活垃圾焚烧每年可减少氨排放量619吨。</w:t>
      </w:r>
    </w:p>
    <w:p>
      <w:pPr>
        <w:spacing w:line="360" w:lineRule="auto"/>
        <w:ind w:firstLine="640"/>
        <w:rPr>
          <w:rFonts w:cs="Times New Roman"/>
          <w:color w:val="auto"/>
          <w:szCs w:val="32"/>
          <w:highlight w:val="none"/>
        </w:rPr>
      </w:pPr>
      <w:r>
        <w:rPr>
          <w:rFonts w:cs="Times New Roman"/>
          <w:color w:val="auto"/>
          <w:szCs w:val="24"/>
          <w:highlight w:val="none"/>
        </w:rPr>
        <w:t>本标准实施后，也将促进全省</w:t>
      </w:r>
      <w:r>
        <w:rPr>
          <w:rFonts w:cs="Times New Roman"/>
          <w:color w:val="auto"/>
          <w:szCs w:val="32"/>
          <w:highlight w:val="none"/>
        </w:rPr>
        <w:t>生活垃圾焚烧企业积极提标改造，加强精细化管理，提高污染治理设施去除效率，</w:t>
      </w:r>
      <w:r>
        <w:rPr>
          <w:rFonts w:cs="Times New Roman"/>
          <w:color w:val="auto"/>
          <w:szCs w:val="24"/>
          <w:highlight w:val="none"/>
        </w:rPr>
        <w:t>促进新的治理技术和新兴产业的发展，提高区域竞争力，推动全省经济发展，社会效益明显。</w:t>
      </w:r>
    </w:p>
    <w:p>
      <w:pPr>
        <w:pStyle w:val="2"/>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仿宋_GB2312" w:cs="Times New Roman"/>
          <w:color w:val="auto"/>
          <w:kern w:val="2"/>
          <w:szCs w:val="22"/>
          <w:highlight w:val="none"/>
          <w:lang w:val="en-US" w:eastAsia="zh-CN"/>
        </w:rPr>
      </w:pPr>
      <w:bookmarkStart w:id="201" w:name="_Toc38015625"/>
      <w:bookmarkStart w:id="202" w:name="_Toc3843"/>
      <w:r>
        <w:rPr>
          <w:rFonts w:hint="default" w:ascii="Times New Roman" w:hAnsi="Times New Roman" w:eastAsia="仿宋_GB2312" w:cs="Times New Roman"/>
          <w:color w:val="auto"/>
          <w:kern w:val="2"/>
          <w:szCs w:val="22"/>
          <w:highlight w:val="none"/>
          <w:lang w:val="en-US" w:eastAsia="zh-CN"/>
        </w:rPr>
        <w:t>9.标准实施的建议</w:t>
      </w:r>
      <w:bookmarkEnd w:id="201"/>
      <w:bookmarkEnd w:id="202"/>
    </w:p>
    <w:p>
      <w:pPr>
        <w:spacing w:line="360" w:lineRule="auto"/>
        <w:ind w:firstLine="640"/>
        <w:rPr>
          <w:rFonts w:cs="Times New Roman"/>
          <w:color w:val="auto"/>
          <w:szCs w:val="32"/>
          <w:highlight w:val="none"/>
        </w:rPr>
      </w:pPr>
      <w:r>
        <w:rPr>
          <w:rFonts w:cs="Times New Roman"/>
          <w:color w:val="auto"/>
          <w:szCs w:val="32"/>
          <w:highlight w:val="none"/>
        </w:rPr>
        <w:t>为保证本标准的顺利实施，编制组建议如下：</w:t>
      </w:r>
    </w:p>
    <w:p>
      <w:pPr>
        <w:spacing w:line="360" w:lineRule="auto"/>
        <w:ind w:firstLine="640"/>
        <w:rPr>
          <w:rFonts w:cs="Times New Roman"/>
          <w:color w:val="auto"/>
          <w:szCs w:val="32"/>
          <w:highlight w:val="none"/>
        </w:rPr>
      </w:pPr>
      <w:r>
        <w:rPr>
          <w:rFonts w:cs="Times New Roman"/>
          <w:color w:val="auto"/>
          <w:szCs w:val="32"/>
          <w:highlight w:val="none"/>
        </w:rPr>
        <w:t>一是在标准颁布后加大宣贯力度，组织对相关人员的培训。</w:t>
      </w:r>
      <w:r>
        <w:rPr>
          <w:rFonts w:cs="Times New Roman"/>
          <w:color w:val="auto"/>
          <w:highlight w:val="none"/>
        </w:rPr>
        <w:t>让河南省辖区内生活垃圾企业熟悉本标准，坚决贯彻执行；让省市县各级生态环境管理部门应尽快理解掌握本标准的内容，确保标准实施后能够立刻运用到日常监督管理。</w:t>
      </w:r>
    </w:p>
    <w:p>
      <w:pPr>
        <w:ind w:firstLine="640"/>
        <w:rPr>
          <w:rFonts w:cs="Times New Roman"/>
          <w:color w:val="auto"/>
          <w:szCs w:val="32"/>
          <w:highlight w:val="none"/>
        </w:rPr>
      </w:pPr>
      <w:r>
        <w:rPr>
          <w:rFonts w:cs="Times New Roman"/>
          <w:color w:val="auto"/>
          <w:szCs w:val="32"/>
          <w:highlight w:val="none"/>
        </w:rPr>
        <w:t>二是建议</w:t>
      </w:r>
      <w:bookmarkStart w:id="203" w:name="_Hlk120605479"/>
      <w:r>
        <w:rPr>
          <w:rFonts w:cs="Times New Roman"/>
          <w:color w:val="auto"/>
          <w:szCs w:val="32"/>
          <w:highlight w:val="none"/>
        </w:rPr>
        <w:t>各级财政及时支付</w:t>
      </w:r>
      <w:bookmarkEnd w:id="203"/>
      <w:r>
        <w:rPr>
          <w:rFonts w:cs="Times New Roman"/>
          <w:color w:val="auto"/>
          <w:szCs w:val="32"/>
          <w:highlight w:val="none"/>
        </w:rPr>
        <w:t>垃圾处理费和电价补贴，生活垃圾焚烧企业本省就是带有社会公益性的行业，普遍面临应收款（包括垃圾处理费、国家电价补贴、省级电价补贴）被拖欠较为严重的情况，为保证垃圾焚烧企业的正常运行和本标准的顺利实施，建议各级财政及时支付相关费用。</w:t>
      </w:r>
    </w:p>
    <w:p>
      <w:pPr>
        <w:ind w:firstLine="707" w:firstLineChars="221"/>
        <w:rPr>
          <w:rFonts w:cs="Times New Roman"/>
          <w:color w:val="auto"/>
          <w:szCs w:val="32"/>
          <w:highlight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10" w:usb3="00000000" w:csb0="00040000"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tabs>
        <w:tab w:val="center" w:pos="4153"/>
        <w:tab w:val="right" w:pos="8306"/>
      </w:tabs>
      <w:ind w:firstLine="640"/>
    </w:pPr>
    <w:r>
      <w:fldChar w:fldCharType="begin"/>
    </w:r>
    <w:r>
      <w:instrText xml:space="preserve">PAGE  </w:instrText>
    </w:r>
    <w:r>
      <w:fldChar w:fldCharType="end"/>
    </w:r>
  </w:p>
  <w:p>
    <w:pPr>
      <w:tabs>
        <w:tab w:val="center" w:pos="4153"/>
        <w:tab w:val="right" w:pos="8306"/>
      </w:tabs>
      <w:ind w:right="360" w:firstLine="64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ind w:firstLine="64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tabs>
                              <w:tab w:val="center" w:pos="4153"/>
                              <w:tab w:val="right" w:pos="8306"/>
                            </w:tabs>
                            <w:ind w:firstLine="480"/>
                            <w:rPr>
                              <w:rFonts w:cs="Times New Roman"/>
                              <w:sz w:val="24"/>
                              <w:szCs w:val="24"/>
                            </w:rPr>
                          </w:pPr>
                          <w:r>
                            <w:rPr>
                              <w:rFonts w:cs="Times New Roman"/>
                              <w:sz w:val="24"/>
                              <w:szCs w:val="24"/>
                            </w:rPr>
                            <w:fldChar w:fldCharType="begin"/>
                          </w:r>
                          <w:r>
                            <w:rPr>
                              <w:rFonts w:cs="Times New Roman"/>
                              <w:sz w:val="24"/>
                              <w:szCs w:val="24"/>
                            </w:rPr>
                            <w:instrText xml:space="preserve"> PAGE  \* MERGEFORMAT </w:instrText>
                          </w:r>
                          <w:r>
                            <w:rPr>
                              <w:rFonts w:cs="Times New Roman"/>
                              <w:sz w:val="24"/>
                              <w:szCs w:val="24"/>
                            </w:rPr>
                            <w:fldChar w:fldCharType="separate"/>
                          </w:r>
                          <w:r>
                            <w:rPr>
                              <w:rFonts w:cs="Times New Roman"/>
                              <w:sz w:val="24"/>
                              <w:szCs w:val="24"/>
                            </w:rPr>
                            <w:t>1</w:t>
                          </w:r>
                          <w:r>
                            <w:rPr>
                              <w:rFonts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tabs>
                        <w:tab w:val="center" w:pos="4153"/>
                        <w:tab w:val="right" w:pos="8306"/>
                      </w:tabs>
                      <w:ind w:firstLine="480"/>
                      <w:rPr>
                        <w:rFonts w:cs="Times New Roman"/>
                        <w:sz w:val="24"/>
                        <w:szCs w:val="24"/>
                      </w:rPr>
                    </w:pPr>
                    <w:r>
                      <w:rPr>
                        <w:rFonts w:cs="Times New Roman"/>
                        <w:sz w:val="24"/>
                        <w:szCs w:val="24"/>
                      </w:rPr>
                      <w:fldChar w:fldCharType="begin"/>
                    </w:r>
                    <w:r>
                      <w:rPr>
                        <w:rFonts w:cs="Times New Roman"/>
                        <w:sz w:val="24"/>
                        <w:szCs w:val="24"/>
                      </w:rPr>
                      <w:instrText xml:space="preserve"> PAGE  \* MERGEFORMAT </w:instrText>
                    </w:r>
                    <w:r>
                      <w:rPr>
                        <w:rFonts w:cs="Times New Roman"/>
                        <w:sz w:val="24"/>
                        <w:szCs w:val="24"/>
                      </w:rPr>
                      <w:fldChar w:fldCharType="separate"/>
                    </w:r>
                    <w:r>
                      <w:rPr>
                        <w:rFonts w:cs="Times New Roman"/>
                        <w:sz w:val="24"/>
                        <w:szCs w:val="24"/>
                      </w:rPr>
                      <w:t>1</w:t>
                    </w:r>
                    <w:r>
                      <w:rPr>
                        <w:rFonts w:cs="Times New Roman"/>
                        <w:sz w:val="24"/>
                        <w:szCs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ind w:firstLine="420"/>
                            <w:rPr>
                              <w:rFonts w:cs="Times New Roman"/>
                              <w:sz w:val="21"/>
                              <w:szCs w:val="21"/>
                            </w:rPr>
                          </w:pPr>
                          <w:r>
                            <w:rPr>
                              <w:rFonts w:cs="Times New Roman"/>
                              <w:sz w:val="21"/>
                              <w:szCs w:val="21"/>
                            </w:rPr>
                            <w:fldChar w:fldCharType="begin"/>
                          </w:r>
                          <w:r>
                            <w:rPr>
                              <w:rFonts w:cs="Times New Roman"/>
                              <w:sz w:val="21"/>
                              <w:szCs w:val="21"/>
                            </w:rPr>
                            <w:instrText xml:space="preserve"> PAGE  \* MERGEFORMAT </w:instrText>
                          </w:r>
                          <w:r>
                            <w:rPr>
                              <w:rFonts w:cs="Times New Roman"/>
                              <w:sz w:val="21"/>
                              <w:szCs w:val="21"/>
                            </w:rPr>
                            <w:fldChar w:fldCharType="separate"/>
                          </w:r>
                          <w:r>
                            <w:rPr>
                              <w:rFonts w:cs="Times New Roman"/>
                              <w:sz w:val="21"/>
                              <w:szCs w:val="21"/>
                            </w:rPr>
                            <w:t>109</w:t>
                          </w:r>
                          <w:r>
                            <w:rPr>
                              <w:rFonts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8"/>
                      <w:ind w:firstLine="420"/>
                      <w:rPr>
                        <w:rFonts w:cs="Times New Roman"/>
                        <w:sz w:val="21"/>
                        <w:szCs w:val="21"/>
                      </w:rPr>
                    </w:pPr>
                    <w:r>
                      <w:rPr>
                        <w:rFonts w:cs="Times New Roman"/>
                        <w:sz w:val="21"/>
                        <w:szCs w:val="21"/>
                      </w:rPr>
                      <w:fldChar w:fldCharType="begin"/>
                    </w:r>
                    <w:r>
                      <w:rPr>
                        <w:rFonts w:cs="Times New Roman"/>
                        <w:sz w:val="21"/>
                        <w:szCs w:val="21"/>
                      </w:rPr>
                      <w:instrText xml:space="preserve"> PAGE  \* MERGEFORMAT </w:instrText>
                    </w:r>
                    <w:r>
                      <w:rPr>
                        <w:rFonts w:cs="Times New Roman"/>
                        <w:sz w:val="21"/>
                        <w:szCs w:val="21"/>
                      </w:rPr>
                      <w:fldChar w:fldCharType="separate"/>
                    </w:r>
                    <w:r>
                      <w:rPr>
                        <w:rFonts w:cs="Times New Roman"/>
                        <w:sz w:val="21"/>
                        <w:szCs w:val="21"/>
                      </w:rPr>
                      <w:t>109</w:t>
                    </w:r>
                    <w:r>
                      <w:rPr>
                        <w:rFonts w:cs="Times New Roman"/>
                        <w:sz w:val="21"/>
                        <w:szCs w:val="21"/>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ind w:firstLine="64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tabs>
                              <w:tab w:val="center" w:pos="4153"/>
                              <w:tab w:val="right" w:pos="8306"/>
                            </w:tabs>
                            <w:ind w:firstLine="420"/>
                            <w:rPr>
                              <w:rFonts w:cs="Times New Roman"/>
                              <w:sz w:val="24"/>
                              <w:szCs w:val="24"/>
                            </w:rPr>
                          </w:pPr>
                          <w:r>
                            <w:rPr>
                              <w:rFonts w:cs="Times New Roman"/>
                              <w:sz w:val="21"/>
                              <w:szCs w:val="21"/>
                            </w:rPr>
                            <w:fldChar w:fldCharType="begin"/>
                          </w:r>
                          <w:r>
                            <w:rPr>
                              <w:rFonts w:cs="Times New Roman"/>
                              <w:sz w:val="21"/>
                              <w:szCs w:val="21"/>
                            </w:rPr>
                            <w:instrText xml:space="preserve"> PAGE  \* MERGEFORMAT </w:instrText>
                          </w:r>
                          <w:r>
                            <w:rPr>
                              <w:rFonts w:cs="Times New Roman"/>
                              <w:sz w:val="21"/>
                              <w:szCs w:val="21"/>
                            </w:rPr>
                            <w:fldChar w:fldCharType="separate"/>
                          </w:r>
                          <w:r>
                            <w:rPr>
                              <w:rFonts w:cs="Times New Roman"/>
                              <w:sz w:val="21"/>
                              <w:szCs w:val="21"/>
                            </w:rPr>
                            <w:t>109</w:t>
                          </w:r>
                          <w:r>
                            <w:rPr>
                              <w:rFonts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tabs>
                        <w:tab w:val="center" w:pos="4153"/>
                        <w:tab w:val="right" w:pos="8306"/>
                      </w:tabs>
                      <w:ind w:firstLine="420"/>
                      <w:rPr>
                        <w:rFonts w:cs="Times New Roman"/>
                        <w:sz w:val="24"/>
                        <w:szCs w:val="24"/>
                      </w:rPr>
                    </w:pPr>
                    <w:r>
                      <w:rPr>
                        <w:rFonts w:cs="Times New Roman"/>
                        <w:sz w:val="21"/>
                        <w:szCs w:val="21"/>
                      </w:rPr>
                      <w:fldChar w:fldCharType="begin"/>
                    </w:r>
                    <w:r>
                      <w:rPr>
                        <w:rFonts w:cs="Times New Roman"/>
                        <w:sz w:val="21"/>
                        <w:szCs w:val="21"/>
                      </w:rPr>
                      <w:instrText xml:space="preserve"> PAGE  \* MERGEFORMAT </w:instrText>
                    </w:r>
                    <w:r>
                      <w:rPr>
                        <w:rFonts w:cs="Times New Roman"/>
                        <w:sz w:val="21"/>
                        <w:szCs w:val="21"/>
                      </w:rPr>
                      <w:fldChar w:fldCharType="separate"/>
                    </w:r>
                    <w:r>
                      <w:rPr>
                        <w:rFonts w:cs="Times New Roman"/>
                        <w:sz w:val="21"/>
                        <w:szCs w:val="21"/>
                      </w:rPr>
                      <w:t>109</w:t>
                    </w:r>
                    <w:r>
                      <w:rPr>
                        <w:rFonts w:cs="Times New Roman"/>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E064C8"/>
    <w:multiLevelType w:val="singleLevel"/>
    <w:tmpl w:val="D0E064C8"/>
    <w:lvl w:ilvl="0" w:tentative="0">
      <w:start w:val="1"/>
      <w:numFmt w:val="decimal"/>
      <w:suff w:val="nothing"/>
      <w:lvlText w:val="（%1）"/>
      <w:lvlJc w:val="left"/>
    </w:lvl>
  </w:abstractNum>
  <w:abstractNum w:abstractNumId="1">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9"/>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5A436CB2"/>
    <w:multiLevelType w:val="singleLevel"/>
    <w:tmpl w:val="5A436CB2"/>
    <w:lvl w:ilvl="0" w:tentative="0">
      <w:start w:val="7"/>
      <w:numFmt w:val="chineseCounting"/>
      <w:suff w:val="nothing"/>
      <w:lvlText w:val="（%1）"/>
      <w:lvlJc w:val="left"/>
      <w:rPr>
        <w:rFonts w:hint="eastAsia"/>
      </w:rPr>
    </w:lvl>
  </w:abstractNum>
  <w:abstractNum w:abstractNumId="3">
    <w:nsid w:val="646260FA"/>
    <w:multiLevelType w:val="multilevel"/>
    <w:tmpl w:val="646260FA"/>
    <w:lvl w:ilvl="0" w:tentative="0">
      <w:start w:val="1"/>
      <w:numFmt w:val="decimal"/>
      <w:pStyle w:val="28"/>
      <w:suff w:val="nothing"/>
      <w:lvlText w:val="表%1　"/>
      <w:lvlJc w:val="left"/>
      <w:pPr>
        <w:ind w:left="8831" w:firstLine="0"/>
      </w:pPr>
      <w:rPr>
        <w:rFonts w:hint="eastAsia" w:ascii="黑体" w:hAnsi="Times New Roman" w:eastAsia="黑体"/>
        <w:b w:val="0"/>
        <w:i w:val="0"/>
        <w:sz w:val="21"/>
      </w:rPr>
    </w:lvl>
    <w:lvl w:ilvl="1" w:tentative="0">
      <w:start w:val="1"/>
      <w:numFmt w:val="decimal"/>
      <w:lvlText w:val="%1.%2"/>
      <w:lvlJc w:val="left"/>
      <w:pPr>
        <w:tabs>
          <w:tab w:val="left" w:pos="4111"/>
        </w:tabs>
        <w:ind w:left="4111" w:hanging="567"/>
      </w:pPr>
      <w:rPr>
        <w:rFonts w:hint="eastAsia"/>
      </w:rPr>
    </w:lvl>
    <w:lvl w:ilvl="2" w:tentative="0">
      <w:start w:val="1"/>
      <w:numFmt w:val="decimal"/>
      <w:lvlText w:val="%1.%2.%3"/>
      <w:lvlJc w:val="left"/>
      <w:pPr>
        <w:tabs>
          <w:tab w:val="left" w:pos="4537"/>
        </w:tabs>
        <w:ind w:left="4537" w:hanging="567"/>
      </w:pPr>
      <w:rPr>
        <w:rFonts w:hint="eastAsia"/>
      </w:rPr>
    </w:lvl>
    <w:lvl w:ilvl="3" w:tentative="0">
      <w:start w:val="1"/>
      <w:numFmt w:val="decimal"/>
      <w:lvlText w:val="%1.%2.%3.%4"/>
      <w:lvlJc w:val="left"/>
      <w:pPr>
        <w:tabs>
          <w:tab w:val="left" w:pos="5103"/>
        </w:tabs>
        <w:ind w:left="5103" w:hanging="708"/>
      </w:pPr>
      <w:rPr>
        <w:rFonts w:hint="eastAsia"/>
      </w:rPr>
    </w:lvl>
    <w:lvl w:ilvl="4" w:tentative="0">
      <w:start w:val="1"/>
      <w:numFmt w:val="decimal"/>
      <w:lvlText w:val="%1.%2.%3.%4.%5"/>
      <w:lvlJc w:val="left"/>
      <w:pPr>
        <w:tabs>
          <w:tab w:val="left" w:pos="5670"/>
        </w:tabs>
        <w:ind w:left="5670" w:hanging="850"/>
      </w:pPr>
      <w:rPr>
        <w:rFonts w:hint="eastAsia"/>
      </w:rPr>
    </w:lvl>
    <w:lvl w:ilvl="5" w:tentative="0">
      <w:start w:val="1"/>
      <w:numFmt w:val="decimal"/>
      <w:lvlText w:val="%1.%2.%3.%4.%5.%6"/>
      <w:lvlJc w:val="left"/>
      <w:pPr>
        <w:tabs>
          <w:tab w:val="left" w:pos="6379"/>
        </w:tabs>
        <w:ind w:left="6379" w:hanging="1134"/>
      </w:pPr>
      <w:rPr>
        <w:rFonts w:hint="eastAsia"/>
      </w:rPr>
    </w:lvl>
    <w:lvl w:ilvl="6" w:tentative="0">
      <w:start w:val="1"/>
      <w:numFmt w:val="decimal"/>
      <w:lvlText w:val="%1.%2.%3.%4.%5.%6.%7"/>
      <w:lvlJc w:val="left"/>
      <w:pPr>
        <w:tabs>
          <w:tab w:val="left" w:pos="6946"/>
        </w:tabs>
        <w:ind w:left="6946" w:hanging="1276"/>
      </w:pPr>
      <w:rPr>
        <w:rFonts w:hint="eastAsia"/>
      </w:rPr>
    </w:lvl>
    <w:lvl w:ilvl="7" w:tentative="0">
      <w:start w:val="1"/>
      <w:numFmt w:val="decimal"/>
      <w:lvlText w:val="%1.%2.%3.%4.%5.%6.%7.%8"/>
      <w:lvlJc w:val="left"/>
      <w:pPr>
        <w:tabs>
          <w:tab w:val="left" w:pos="7513"/>
        </w:tabs>
        <w:ind w:left="7513" w:hanging="1418"/>
      </w:pPr>
      <w:rPr>
        <w:rFonts w:hint="eastAsia"/>
      </w:rPr>
    </w:lvl>
    <w:lvl w:ilvl="8" w:tentative="0">
      <w:start w:val="1"/>
      <w:numFmt w:val="decimal"/>
      <w:lvlText w:val="%1.%2.%3.%4.%5.%6.%7.%8.%9"/>
      <w:lvlJc w:val="left"/>
      <w:pPr>
        <w:tabs>
          <w:tab w:val="left" w:pos="8221"/>
        </w:tabs>
        <w:ind w:left="8221" w:hanging="1700"/>
      </w:pPr>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7B123D"/>
    <w:rsid w:val="00003C20"/>
    <w:rsid w:val="00004B51"/>
    <w:rsid w:val="00011CCC"/>
    <w:rsid w:val="000171BE"/>
    <w:rsid w:val="000263EB"/>
    <w:rsid w:val="00026D9C"/>
    <w:rsid w:val="000345F3"/>
    <w:rsid w:val="00037F62"/>
    <w:rsid w:val="00040977"/>
    <w:rsid w:val="00046E4D"/>
    <w:rsid w:val="0004718D"/>
    <w:rsid w:val="00051956"/>
    <w:rsid w:val="0005465E"/>
    <w:rsid w:val="000569DE"/>
    <w:rsid w:val="00066E7B"/>
    <w:rsid w:val="00066EBC"/>
    <w:rsid w:val="00076271"/>
    <w:rsid w:val="000925BA"/>
    <w:rsid w:val="00094012"/>
    <w:rsid w:val="000B63F3"/>
    <w:rsid w:val="000C784A"/>
    <w:rsid w:val="000E07AD"/>
    <w:rsid w:val="0010163D"/>
    <w:rsid w:val="001017D5"/>
    <w:rsid w:val="00143A4E"/>
    <w:rsid w:val="00153C89"/>
    <w:rsid w:val="00153E70"/>
    <w:rsid w:val="00156EC0"/>
    <w:rsid w:val="00161BFA"/>
    <w:rsid w:val="001718B5"/>
    <w:rsid w:val="00187DDA"/>
    <w:rsid w:val="001A0CAF"/>
    <w:rsid w:val="001A4471"/>
    <w:rsid w:val="001B111F"/>
    <w:rsid w:val="001B4C9D"/>
    <w:rsid w:val="001C54BC"/>
    <w:rsid w:val="001D3B27"/>
    <w:rsid w:val="001D5397"/>
    <w:rsid w:val="001E0ECE"/>
    <w:rsid w:val="001E4F92"/>
    <w:rsid w:val="001E6A59"/>
    <w:rsid w:val="001F0741"/>
    <w:rsid w:val="001F73E0"/>
    <w:rsid w:val="002049CF"/>
    <w:rsid w:val="00216EE6"/>
    <w:rsid w:val="002216CF"/>
    <w:rsid w:val="002226BE"/>
    <w:rsid w:val="00223B2F"/>
    <w:rsid w:val="00226333"/>
    <w:rsid w:val="00234898"/>
    <w:rsid w:val="0023496C"/>
    <w:rsid w:val="00237346"/>
    <w:rsid w:val="00242B36"/>
    <w:rsid w:val="00244130"/>
    <w:rsid w:val="0024752D"/>
    <w:rsid w:val="00252288"/>
    <w:rsid w:val="0026575F"/>
    <w:rsid w:val="00271E3A"/>
    <w:rsid w:val="00280877"/>
    <w:rsid w:val="002A4212"/>
    <w:rsid w:val="002D0D86"/>
    <w:rsid w:val="002D7D35"/>
    <w:rsid w:val="002E02FE"/>
    <w:rsid w:val="002E6B15"/>
    <w:rsid w:val="002E7DF5"/>
    <w:rsid w:val="002F1DA0"/>
    <w:rsid w:val="00305CE7"/>
    <w:rsid w:val="00306956"/>
    <w:rsid w:val="003077EC"/>
    <w:rsid w:val="00311A5F"/>
    <w:rsid w:val="00317C56"/>
    <w:rsid w:val="00321B9B"/>
    <w:rsid w:val="003475C4"/>
    <w:rsid w:val="00363180"/>
    <w:rsid w:val="00365B58"/>
    <w:rsid w:val="00373928"/>
    <w:rsid w:val="00374251"/>
    <w:rsid w:val="00374561"/>
    <w:rsid w:val="00377076"/>
    <w:rsid w:val="00384336"/>
    <w:rsid w:val="00394090"/>
    <w:rsid w:val="003A477D"/>
    <w:rsid w:val="003C0FD1"/>
    <w:rsid w:val="003C4E82"/>
    <w:rsid w:val="003C6E5F"/>
    <w:rsid w:val="003D2A68"/>
    <w:rsid w:val="003E2553"/>
    <w:rsid w:val="003E627F"/>
    <w:rsid w:val="00400931"/>
    <w:rsid w:val="004105EA"/>
    <w:rsid w:val="00417986"/>
    <w:rsid w:val="00422777"/>
    <w:rsid w:val="00422B94"/>
    <w:rsid w:val="0042311B"/>
    <w:rsid w:val="00426ED6"/>
    <w:rsid w:val="00440203"/>
    <w:rsid w:val="00457DFC"/>
    <w:rsid w:val="00460CEF"/>
    <w:rsid w:val="00470168"/>
    <w:rsid w:val="00484CDC"/>
    <w:rsid w:val="00497F77"/>
    <w:rsid w:val="004A49D8"/>
    <w:rsid w:val="004B0D73"/>
    <w:rsid w:val="004B7758"/>
    <w:rsid w:val="004C5103"/>
    <w:rsid w:val="004D367A"/>
    <w:rsid w:val="004D6C68"/>
    <w:rsid w:val="004F6F2B"/>
    <w:rsid w:val="00502CDF"/>
    <w:rsid w:val="005216AE"/>
    <w:rsid w:val="00524FFB"/>
    <w:rsid w:val="00526A75"/>
    <w:rsid w:val="00527F16"/>
    <w:rsid w:val="00536684"/>
    <w:rsid w:val="0053759A"/>
    <w:rsid w:val="00540D62"/>
    <w:rsid w:val="00544099"/>
    <w:rsid w:val="00545A3A"/>
    <w:rsid w:val="00556E6A"/>
    <w:rsid w:val="00566B57"/>
    <w:rsid w:val="00575757"/>
    <w:rsid w:val="005A3E98"/>
    <w:rsid w:val="005C1EC3"/>
    <w:rsid w:val="005C5B42"/>
    <w:rsid w:val="005D4C99"/>
    <w:rsid w:val="005E2FC2"/>
    <w:rsid w:val="005F3694"/>
    <w:rsid w:val="005F6EF4"/>
    <w:rsid w:val="00605DBE"/>
    <w:rsid w:val="006146DE"/>
    <w:rsid w:val="00614A2C"/>
    <w:rsid w:val="006158A7"/>
    <w:rsid w:val="00621660"/>
    <w:rsid w:val="00626EB8"/>
    <w:rsid w:val="00640226"/>
    <w:rsid w:val="00642EC3"/>
    <w:rsid w:val="006435C3"/>
    <w:rsid w:val="00645BE0"/>
    <w:rsid w:val="00646771"/>
    <w:rsid w:val="006476E6"/>
    <w:rsid w:val="0065742F"/>
    <w:rsid w:val="0066441F"/>
    <w:rsid w:val="006662C1"/>
    <w:rsid w:val="006863D1"/>
    <w:rsid w:val="00690D08"/>
    <w:rsid w:val="00693AD7"/>
    <w:rsid w:val="0069691C"/>
    <w:rsid w:val="006B2473"/>
    <w:rsid w:val="006D38A8"/>
    <w:rsid w:val="006E09E3"/>
    <w:rsid w:val="006E0A35"/>
    <w:rsid w:val="006E7C7D"/>
    <w:rsid w:val="006F0805"/>
    <w:rsid w:val="006F14D9"/>
    <w:rsid w:val="006F6987"/>
    <w:rsid w:val="00704570"/>
    <w:rsid w:val="00722AC5"/>
    <w:rsid w:val="00732597"/>
    <w:rsid w:val="0073562F"/>
    <w:rsid w:val="00741691"/>
    <w:rsid w:val="007471F2"/>
    <w:rsid w:val="00750085"/>
    <w:rsid w:val="00750180"/>
    <w:rsid w:val="007619A9"/>
    <w:rsid w:val="00764CFB"/>
    <w:rsid w:val="00786F91"/>
    <w:rsid w:val="0079552E"/>
    <w:rsid w:val="007A518F"/>
    <w:rsid w:val="007B123D"/>
    <w:rsid w:val="007B5743"/>
    <w:rsid w:val="007B5883"/>
    <w:rsid w:val="007D107D"/>
    <w:rsid w:val="007F52FD"/>
    <w:rsid w:val="008062E7"/>
    <w:rsid w:val="00810C03"/>
    <w:rsid w:val="0081476F"/>
    <w:rsid w:val="00820F40"/>
    <w:rsid w:val="00823400"/>
    <w:rsid w:val="00840FA1"/>
    <w:rsid w:val="008427A3"/>
    <w:rsid w:val="008469B4"/>
    <w:rsid w:val="00847A18"/>
    <w:rsid w:val="00855D94"/>
    <w:rsid w:val="008564DB"/>
    <w:rsid w:val="00867E38"/>
    <w:rsid w:val="00873321"/>
    <w:rsid w:val="00874FA7"/>
    <w:rsid w:val="00885ED4"/>
    <w:rsid w:val="00886E46"/>
    <w:rsid w:val="008A549F"/>
    <w:rsid w:val="008A7932"/>
    <w:rsid w:val="008B0010"/>
    <w:rsid w:val="008B3C2A"/>
    <w:rsid w:val="008B473D"/>
    <w:rsid w:val="008B7497"/>
    <w:rsid w:val="008B7B6D"/>
    <w:rsid w:val="008D19DD"/>
    <w:rsid w:val="008D6264"/>
    <w:rsid w:val="008E10F4"/>
    <w:rsid w:val="009047E4"/>
    <w:rsid w:val="009049D8"/>
    <w:rsid w:val="009221F9"/>
    <w:rsid w:val="009236D3"/>
    <w:rsid w:val="00924F64"/>
    <w:rsid w:val="00927234"/>
    <w:rsid w:val="0093292E"/>
    <w:rsid w:val="00934296"/>
    <w:rsid w:val="00934941"/>
    <w:rsid w:val="00941C63"/>
    <w:rsid w:val="009467B5"/>
    <w:rsid w:val="00953B1E"/>
    <w:rsid w:val="0096253A"/>
    <w:rsid w:val="009627BA"/>
    <w:rsid w:val="0097112C"/>
    <w:rsid w:val="0098771E"/>
    <w:rsid w:val="009878F0"/>
    <w:rsid w:val="00993F20"/>
    <w:rsid w:val="00994671"/>
    <w:rsid w:val="00996B77"/>
    <w:rsid w:val="009A06F6"/>
    <w:rsid w:val="009A2CE8"/>
    <w:rsid w:val="009B3A5B"/>
    <w:rsid w:val="009C66CD"/>
    <w:rsid w:val="009C77B8"/>
    <w:rsid w:val="009D08A9"/>
    <w:rsid w:val="009D3714"/>
    <w:rsid w:val="009E6E8F"/>
    <w:rsid w:val="00A05392"/>
    <w:rsid w:val="00A10A52"/>
    <w:rsid w:val="00A16782"/>
    <w:rsid w:val="00A24B6F"/>
    <w:rsid w:val="00A34865"/>
    <w:rsid w:val="00A37DD6"/>
    <w:rsid w:val="00A451C5"/>
    <w:rsid w:val="00A52CE0"/>
    <w:rsid w:val="00A55107"/>
    <w:rsid w:val="00A6504B"/>
    <w:rsid w:val="00A679FF"/>
    <w:rsid w:val="00A82F34"/>
    <w:rsid w:val="00A90E2C"/>
    <w:rsid w:val="00AB596D"/>
    <w:rsid w:val="00AC1B41"/>
    <w:rsid w:val="00AC2B11"/>
    <w:rsid w:val="00AC56A1"/>
    <w:rsid w:val="00AD1698"/>
    <w:rsid w:val="00AD1FEF"/>
    <w:rsid w:val="00AD3B16"/>
    <w:rsid w:val="00AD692E"/>
    <w:rsid w:val="00AD6F16"/>
    <w:rsid w:val="00AE03A5"/>
    <w:rsid w:val="00AE6B5F"/>
    <w:rsid w:val="00AF00E1"/>
    <w:rsid w:val="00B00D02"/>
    <w:rsid w:val="00B03053"/>
    <w:rsid w:val="00B10F94"/>
    <w:rsid w:val="00B168CD"/>
    <w:rsid w:val="00B318B1"/>
    <w:rsid w:val="00B5443F"/>
    <w:rsid w:val="00B64054"/>
    <w:rsid w:val="00B66790"/>
    <w:rsid w:val="00B72544"/>
    <w:rsid w:val="00B736CE"/>
    <w:rsid w:val="00B76113"/>
    <w:rsid w:val="00BA1EF7"/>
    <w:rsid w:val="00BB1C29"/>
    <w:rsid w:val="00BB2D58"/>
    <w:rsid w:val="00BC04AB"/>
    <w:rsid w:val="00BC2838"/>
    <w:rsid w:val="00BD1A11"/>
    <w:rsid w:val="00BE3B4A"/>
    <w:rsid w:val="00BF6099"/>
    <w:rsid w:val="00C20DF4"/>
    <w:rsid w:val="00C2611E"/>
    <w:rsid w:val="00C4131C"/>
    <w:rsid w:val="00C447C2"/>
    <w:rsid w:val="00C462E4"/>
    <w:rsid w:val="00C57C86"/>
    <w:rsid w:val="00C61A06"/>
    <w:rsid w:val="00C67E11"/>
    <w:rsid w:val="00C70015"/>
    <w:rsid w:val="00C71941"/>
    <w:rsid w:val="00C731B9"/>
    <w:rsid w:val="00C73FB7"/>
    <w:rsid w:val="00C814BC"/>
    <w:rsid w:val="00C846E4"/>
    <w:rsid w:val="00C86113"/>
    <w:rsid w:val="00C863C2"/>
    <w:rsid w:val="00CA4C69"/>
    <w:rsid w:val="00CA5684"/>
    <w:rsid w:val="00CC312C"/>
    <w:rsid w:val="00CD0498"/>
    <w:rsid w:val="00CD4B1F"/>
    <w:rsid w:val="00CE0C77"/>
    <w:rsid w:val="00CE6E87"/>
    <w:rsid w:val="00CF0DBC"/>
    <w:rsid w:val="00CF35D3"/>
    <w:rsid w:val="00CF58ED"/>
    <w:rsid w:val="00D175B5"/>
    <w:rsid w:val="00D219D0"/>
    <w:rsid w:val="00D21E95"/>
    <w:rsid w:val="00D31694"/>
    <w:rsid w:val="00D350D3"/>
    <w:rsid w:val="00D35461"/>
    <w:rsid w:val="00D434AF"/>
    <w:rsid w:val="00D46C08"/>
    <w:rsid w:val="00D509C0"/>
    <w:rsid w:val="00D53EE3"/>
    <w:rsid w:val="00D54368"/>
    <w:rsid w:val="00D55F19"/>
    <w:rsid w:val="00D60E9A"/>
    <w:rsid w:val="00D73180"/>
    <w:rsid w:val="00D738A2"/>
    <w:rsid w:val="00D8486C"/>
    <w:rsid w:val="00DA0ECF"/>
    <w:rsid w:val="00DA1F82"/>
    <w:rsid w:val="00DC198A"/>
    <w:rsid w:val="00DC7D31"/>
    <w:rsid w:val="00DD35D7"/>
    <w:rsid w:val="00DD4D02"/>
    <w:rsid w:val="00DD5592"/>
    <w:rsid w:val="00DD5941"/>
    <w:rsid w:val="00E0496C"/>
    <w:rsid w:val="00E07AB2"/>
    <w:rsid w:val="00E144C6"/>
    <w:rsid w:val="00E30B5D"/>
    <w:rsid w:val="00E32BE7"/>
    <w:rsid w:val="00E40587"/>
    <w:rsid w:val="00E54A95"/>
    <w:rsid w:val="00E71BC8"/>
    <w:rsid w:val="00E75A35"/>
    <w:rsid w:val="00E80370"/>
    <w:rsid w:val="00E85181"/>
    <w:rsid w:val="00E8704D"/>
    <w:rsid w:val="00E90FA2"/>
    <w:rsid w:val="00EA40E8"/>
    <w:rsid w:val="00EB6939"/>
    <w:rsid w:val="00ED1E2A"/>
    <w:rsid w:val="00EE099D"/>
    <w:rsid w:val="00EE635F"/>
    <w:rsid w:val="00EF7438"/>
    <w:rsid w:val="00F05A47"/>
    <w:rsid w:val="00F40B69"/>
    <w:rsid w:val="00F46AAD"/>
    <w:rsid w:val="00F476EA"/>
    <w:rsid w:val="00F540D3"/>
    <w:rsid w:val="00F56730"/>
    <w:rsid w:val="00F66FDD"/>
    <w:rsid w:val="00F82730"/>
    <w:rsid w:val="00F830CF"/>
    <w:rsid w:val="00F83562"/>
    <w:rsid w:val="00F901E7"/>
    <w:rsid w:val="00F91A02"/>
    <w:rsid w:val="00F96B0F"/>
    <w:rsid w:val="00FA39DE"/>
    <w:rsid w:val="00FB3818"/>
    <w:rsid w:val="00FC4DB2"/>
    <w:rsid w:val="00FD39AA"/>
    <w:rsid w:val="00FD3D28"/>
    <w:rsid w:val="00FD57B0"/>
    <w:rsid w:val="00FF7E02"/>
    <w:rsid w:val="01145609"/>
    <w:rsid w:val="012A0989"/>
    <w:rsid w:val="012C22DB"/>
    <w:rsid w:val="0132783D"/>
    <w:rsid w:val="01350838"/>
    <w:rsid w:val="014420C9"/>
    <w:rsid w:val="014B08FF"/>
    <w:rsid w:val="014B16E5"/>
    <w:rsid w:val="014C70AE"/>
    <w:rsid w:val="014F4893"/>
    <w:rsid w:val="015467F0"/>
    <w:rsid w:val="01591B32"/>
    <w:rsid w:val="015C2B0C"/>
    <w:rsid w:val="0160084E"/>
    <w:rsid w:val="01626374"/>
    <w:rsid w:val="016301D1"/>
    <w:rsid w:val="016D47C9"/>
    <w:rsid w:val="01710365"/>
    <w:rsid w:val="017442FA"/>
    <w:rsid w:val="017771A4"/>
    <w:rsid w:val="017E0A4A"/>
    <w:rsid w:val="01822649"/>
    <w:rsid w:val="01844BDB"/>
    <w:rsid w:val="0188713E"/>
    <w:rsid w:val="018D7D82"/>
    <w:rsid w:val="01916C5A"/>
    <w:rsid w:val="01930516"/>
    <w:rsid w:val="019E1BA4"/>
    <w:rsid w:val="019F1633"/>
    <w:rsid w:val="019F3A01"/>
    <w:rsid w:val="01A3073B"/>
    <w:rsid w:val="01A63B13"/>
    <w:rsid w:val="01AE3368"/>
    <w:rsid w:val="01AF4735"/>
    <w:rsid w:val="01B36BD0"/>
    <w:rsid w:val="01B464A4"/>
    <w:rsid w:val="01BE1174"/>
    <w:rsid w:val="01BF1A59"/>
    <w:rsid w:val="01C56903"/>
    <w:rsid w:val="01CC7C92"/>
    <w:rsid w:val="01D1641C"/>
    <w:rsid w:val="01D84888"/>
    <w:rsid w:val="01D86637"/>
    <w:rsid w:val="01DB0DBE"/>
    <w:rsid w:val="01E03023"/>
    <w:rsid w:val="01E23011"/>
    <w:rsid w:val="01E65B80"/>
    <w:rsid w:val="01E90844"/>
    <w:rsid w:val="01EF2655"/>
    <w:rsid w:val="01F031AD"/>
    <w:rsid w:val="02084ABC"/>
    <w:rsid w:val="020F5273"/>
    <w:rsid w:val="0212443E"/>
    <w:rsid w:val="021C25CD"/>
    <w:rsid w:val="02274EC8"/>
    <w:rsid w:val="02293C40"/>
    <w:rsid w:val="022D2F02"/>
    <w:rsid w:val="02347716"/>
    <w:rsid w:val="0237233B"/>
    <w:rsid w:val="023B20CB"/>
    <w:rsid w:val="023C7A52"/>
    <w:rsid w:val="023F4A0D"/>
    <w:rsid w:val="024256C2"/>
    <w:rsid w:val="02563347"/>
    <w:rsid w:val="025D4A8D"/>
    <w:rsid w:val="025F0F7C"/>
    <w:rsid w:val="026620F4"/>
    <w:rsid w:val="02682B80"/>
    <w:rsid w:val="02684255"/>
    <w:rsid w:val="026B5923"/>
    <w:rsid w:val="026C5F56"/>
    <w:rsid w:val="026E6F9B"/>
    <w:rsid w:val="02704AC1"/>
    <w:rsid w:val="02755C49"/>
    <w:rsid w:val="027C16B8"/>
    <w:rsid w:val="0284056C"/>
    <w:rsid w:val="028925EB"/>
    <w:rsid w:val="029112E0"/>
    <w:rsid w:val="029E3024"/>
    <w:rsid w:val="02A36C44"/>
    <w:rsid w:val="02A725A6"/>
    <w:rsid w:val="02AC67F9"/>
    <w:rsid w:val="02AE1145"/>
    <w:rsid w:val="02B1749B"/>
    <w:rsid w:val="02BE01F0"/>
    <w:rsid w:val="02C10E79"/>
    <w:rsid w:val="02C562E0"/>
    <w:rsid w:val="02CA5F93"/>
    <w:rsid w:val="02CB7F49"/>
    <w:rsid w:val="02CD6C5A"/>
    <w:rsid w:val="02E028BA"/>
    <w:rsid w:val="02E23B25"/>
    <w:rsid w:val="02E608EB"/>
    <w:rsid w:val="02E96621"/>
    <w:rsid w:val="03036DCA"/>
    <w:rsid w:val="03043F3C"/>
    <w:rsid w:val="03063949"/>
    <w:rsid w:val="03080D78"/>
    <w:rsid w:val="03163511"/>
    <w:rsid w:val="032D650E"/>
    <w:rsid w:val="032F04D8"/>
    <w:rsid w:val="03320D24"/>
    <w:rsid w:val="03370E57"/>
    <w:rsid w:val="033732CE"/>
    <w:rsid w:val="033B1ADB"/>
    <w:rsid w:val="033E1AE7"/>
    <w:rsid w:val="033F6B15"/>
    <w:rsid w:val="0341020B"/>
    <w:rsid w:val="03457CFC"/>
    <w:rsid w:val="034E26CA"/>
    <w:rsid w:val="034F04E9"/>
    <w:rsid w:val="0357096F"/>
    <w:rsid w:val="035D06B3"/>
    <w:rsid w:val="035F1FFC"/>
    <w:rsid w:val="036208AE"/>
    <w:rsid w:val="03627DDA"/>
    <w:rsid w:val="03640D6C"/>
    <w:rsid w:val="0367796C"/>
    <w:rsid w:val="036C617D"/>
    <w:rsid w:val="03722AC1"/>
    <w:rsid w:val="037405E1"/>
    <w:rsid w:val="03885E3A"/>
    <w:rsid w:val="039B1066"/>
    <w:rsid w:val="039B2914"/>
    <w:rsid w:val="039D18E6"/>
    <w:rsid w:val="039D55F6"/>
    <w:rsid w:val="039E740C"/>
    <w:rsid w:val="03A04F32"/>
    <w:rsid w:val="03B22EB7"/>
    <w:rsid w:val="03B675D2"/>
    <w:rsid w:val="03BB1D6C"/>
    <w:rsid w:val="03BD732A"/>
    <w:rsid w:val="03C24D40"/>
    <w:rsid w:val="03C442DC"/>
    <w:rsid w:val="03C735D7"/>
    <w:rsid w:val="03C82714"/>
    <w:rsid w:val="03CA0EC5"/>
    <w:rsid w:val="03CC11F1"/>
    <w:rsid w:val="03D05C9D"/>
    <w:rsid w:val="03D4180E"/>
    <w:rsid w:val="03DB7D56"/>
    <w:rsid w:val="03EA68C5"/>
    <w:rsid w:val="03F36A34"/>
    <w:rsid w:val="03F914B2"/>
    <w:rsid w:val="03FA6D38"/>
    <w:rsid w:val="04064418"/>
    <w:rsid w:val="040A0EEA"/>
    <w:rsid w:val="040A4AA1"/>
    <w:rsid w:val="041C0771"/>
    <w:rsid w:val="041C2CA6"/>
    <w:rsid w:val="041D77EC"/>
    <w:rsid w:val="04210608"/>
    <w:rsid w:val="04252B69"/>
    <w:rsid w:val="042644C1"/>
    <w:rsid w:val="04292697"/>
    <w:rsid w:val="042A37DA"/>
    <w:rsid w:val="04301D94"/>
    <w:rsid w:val="043B0BEB"/>
    <w:rsid w:val="044621A8"/>
    <w:rsid w:val="04463D2B"/>
    <w:rsid w:val="04525AC8"/>
    <w:rsid w:val="04536CC4"/>
    <w:rsid w:val="04580447"/>
    <w:rsid w:val="045A6DD9"/>
    <w:rsid w:val="04611732"/>
    <w:rsid w:val="04650836"/>
    <w:rsid w:val="04651CD8"/>
    <w:rsid w:val="04690AA6"/>
    <w:rsid w:val="04694FAB"/>
    <w:rsid w:val="0471096D"/>
    <w:rsid w:val="04757ECC"/>
    <w:rsid w:val="047B7C76"/>
    <w:rsid w:val="047F4FE1"/>
    <w:rsid w:val="04860CD6"/>
    <w:rsid w:val="0488702C"/>
    <w:rsid w:val="048913B1"/>
    <w:rsid w:val="04934182"/>
    <w:rsid w:val="049C3A09"/>
    <w:rsid w:val="04A166A2"/>
    <w:rsid w:val="04A230A0"/>
    <w:rsid w:val="04AA747A"/>
    <w:rsid w:val="04AD1975"/>
    <w:rsid w:val="04B71E43"/>
    <w:rsid w:val="04B95107"/>
    <w:rsid w:val="04C015C2"/>
    <w:rsid w:val="04C42F2A"/>
    <w:rsid w:val="04D00421"/>
    <w:rsid w:val="04D37627"/>
    <w:rsid w:val="04D50500"/>
    <w:rsid w:val="04F4568F"/>
    <w:rsid w:val="04FE63CE"/>
    <w:rsid w:val="050B3FE7"/>
    <w:rsid w:val="051E0C6D"/>
    <w:rsid w:val="05240C70"/>
    <w:rsid w:val="05274378"/>
    <w:rsid w:val="05281683"/>
    <w:rsid w:val="052C12D5"/>
    <w:rsid w:val="052E0147"/>
    <w:rsid w:val="053943F3"/>
    <w:rsid w:val="053D64D5"/>
    <w:rsid w:val="05486988"/>
    <w:rsid w:val="054A7E5D"/>
    <w:rsid w:val="05505BF3"/>
    <w:rsid w:val="05535074"/>
    <w:rsid w:val="05571F68"/>
    <w:rsid w:val="05600E1D"/>
    <w:rsid w:val="05634469"/>
    <w:rsid w:val="05636BA0"/>
    <w:rsid w:val="056D52E8"/>
    <w:rsid w:val="05724E4C"/>
    <w:rsid w:val="057B773D"/>
    <w:rsid w:val="058004A3"/>
    <w:rsid w:val="058B51B1"/>
    <w:rsid w:val="059304D7"/>
    <w:rsid w:val="059413DB"/>
    <w:rsid w:val="05956642"/>
    <w:rsid w:val="05967014"/>
    <w:rsid w:val="059E5E1F"/>
    <w:rsid w:val="05A24234"/>
    <w:rsid w:val="05A54A82"/>
    <w:rsid w:val="05AB7BBE"/>
    <w:rsid w:val="05BB4631"/>
    <w:rsid w:val="05BF18CC"/>
    <w:rsid w:val="05CB200E"/>
    <w:rsid w:val="05CC0260"/>
    <w:rsid w:val="05D341AE"/>
    <w:rsid w:val="05D41EE3"/>
    <w:rsid w:val="05DC58A2"/>
    <w:rsid w:val="05DE534D"/>
    <w:rsid w:val="05E92D93"/>
    <w:rsid w:val="05ED1E77"/>
    <w:rsid w:val="05ED59C5"/>
    <w:rsid w:val="05EE43FF"/>
    <w:rsid w:val="05F835E9"/>
    <w:rsid w:val="05FB28F4"/>
    <w:rsid w:val="06035C4C"/>
    <w:rsid w:val="060C0962"/>
    <w:rsid w:val="060C68AF"/>
    <w:rsid w:val="06147E59"/>
    <w:rsid w:val="06171328"/>
    <w:rsid w:val="061B11E8"/>
    <w:rsid w:val="061C11B9"/>
    <w:rsid w:val="061E4834"/>
    <w:rsid w:val="06262C6B"/>
    <w:rsid w:val="062E7EAC"/>
    <w:rsid w:val="06336531"/>
    <w:rsid w:val="06402AB3"/>
    <w:rsid w:val="0642797C"/>
    <w:rsid w:val="06484DAE"/>
    <w:rsid w:val="065A3ABE"/>
    <w:rsid w:val="065C1F80"/>
    <w:rsid w:val="065D645C"/>
    <w:rsid w:val="06603C6E"/>
    <w:rsid w:val="06693B87"/>
    <w:rsid w:val="06693D01"/>
    <w:rsid w:val="06737EE2"/>
    <w:rsid w:val="067C68E5"/>
    <w:rsid w:val="067E06E0"/>
    <w:rsid w:val="068344FE"/>
    <w:rsid w:val="06844F67"/>
    <w:rsid w:val="06886270"/>
    <w:rsid w:val="068867B5"/>
    <w:rsid w:val="06926DD5"/>
    <w:rsid w:val="06934872"/>
    <w:rsid w:val="06A6607A"/>
    <w:rsid w:val="06AB3BDA"/>
    <w:rsid w:val="06AC39E1"/>
    <w:rsid w:val="06AE5BB8"/>
    <w:rsid w:val="06AF2526"/>
    <w:rsid w:val="06BF2C27"/>
    <w:rsid w:val="06C630FA"/>
    <w:rsid w:val="06D25D4A"/>
    <w:rsid w:val="06D3372C"/>
    <w:rsid w:val="06E23160"/>
    <w:rsid w:val="06E65352"/>
    <w:rsid w:val="06EE06AA"/>
    <w:rsid w:val="06F20873"/>
    <w:rsid w:val="06F7130D"/>
    <w:rsid w:val="07041368"/>
    <w:rsid w:val="070777CB"/>
    <w:rsid w:val="070B492F"/>
    <w:rsid w:val="070B4DB8"/>
    <w:rsid w:val="070F7ED8"/>
    <w:rsid w:val="07105232"/>
    <w:rsid w:val="07136674"/>
    <w:rsid w:val="071F0D04"/>
    <w:rsid w:val="07270EF2"/>
    <w:rsid w:val="072B545A"/>
    <w:rsid w:val="072B6C6C"/>
    <w:rsid w:val="072E5A9F"/>
    <w:rsid w:val="073573A9"/>
    <w:rsid w:val="07373DFF"/>
    <w:rsid w:val="073C1C42"/>
    <w:rsid w:val="073D3CAE"/>
    <w:rsid w:val="073D68BE"/>
    <w:rsid w:val="07424602"/>
    <w:rsid w:val="07481D60"/>
    <w:rsid w:val="074B1659"/>
    <w:rsid w:val="0758118E"/>
    <w:rsid w:val="07593D76"/>
    <w:rsid w:val="075E0B31"/>
    <w:rsid w:val="075E313A"/>
    <w:rsid w:val="07635E3A"/>
    <w:rsid w:val="07665C7F"/>
    <w:rsid w:val="077B16E9"/>
    <w:rsid w:val="077C10D6"/>
    <w:rsid w:val="07840178"/>
    <w:rsid w:val="07843E94"/>
    <w:rsid w:val="078F37D7"/>
    <w:rsid w:val="079C3C62"/>
    <w:rsid w:val="07A06F99"/>
    <w:rsid w:val="07A414B0"/>
    <w:rsid w:val="07A80520"/>
    <w:rsid w:val="07AD40C1"/>
    <w:rsid w:val="07AE1EAC"/>
    <w:rsid w:val="07B436A2"/>
    <w:rsid w:val="07BF15DD"/>
    <w:rsid w:val="07BF2B14"/>
    <w:rsid w:val="07C150D0"/>
    <w:rsid w:val="07C338E5"/>
    <w:rsid w:val="07C66F31"/>
    <w:rsid w:val="07CB326A"/>
    <w:rsid w:val="07CB6C1F"/>
    <w:rsid w:val="07CC279A"/>
    <w:rsid w:val="07DB45AE"/>
    <w:rsid w:val="07E53DE0"/>
    <w:rsid w:val="07EC036F"/>
    <w:rsid w:val="07F47202"/>
    <w:rsid w:val="07FB6BDB"/>
    <w:rsid w:val="07FD3417"/>
    <w:rsid w:val="07FD6DF7"/>
    <w:rsid w:val="08050E7F"/>
    <w:rsid w:val="080C4AC0"/>
    <w:rsid w:val="080D2DB2"/>
    <w:rsid w:val="080F4A73"/>
    <w:rsid w:val="08143F90"/>
    <w:rsid w:val="08174359"/>
    <w:rsid w:val="081B58DF"/>
    <w:rsid w:val="081D21DA"/>
    <w:rsid w:val="08204893"/>
    <w:rsid w:val="08214A39"/>
    <w:rsid w:val="082305AF"/>
    <w:rsid w:val="08247D9A"/>
    <w:rsid w:val="08267803"/>
    <w:rsid w:val="082F0F7A"/>
    <w:rsid w:val="083553D3"/>
    <w:rsid w:val="08381F4F"/>
    <w:rsid w:val="08387E2F"/>
    <w:rsid w:val="083A7807"/>
    <w:rsid w:val="083B791F"/>
    <w:rsid w:val="08465C7A"/>
    <w:rsid w:val="08467495"/>
    <w:rsid w:val="08471E20"/>
    <w:rsid w:val="08597DA5"/>
    <w:rsid w:val="085F419E"/>
    <w:rsid w:val="08631884"/>
    <w:rsid w:val="086545A3"/>
    <w:rsid w:val="08683AA7"/>
    <w:rsid w:val="08723A01"/>
    <w:rsid w:val="08762965"/>
    <w:rsid w:val="087C42ED"/>
    <w:rsid w:val="087C748E"/>
    <w:rsid w:val="08812C46"/>
    <w:rsid w:val="08853EAE"/>
    <w:rsid w:val="0891753F"/>
    <w:rsid w:val="089D59DB"/>
    <w:rsid w:val="089D7C92"/>
    <w:rsid w:val="08A2174C"/>
    <w:rsid w:val="08A579CD"/>
    <w:rsid w:val="08AA0601"/>
    <w:rsid w:val="08AE596B"/>
    <w:rsid w:val="08B51480"/>
    <w:rsid w:val="08C05E4D"/>
    <w:rsid w:val="08C16076"/>
    <w:rsid w:val="08D51E2E"/>
    <w:rsid w:val="08D74992"/>
    <w:rsid w:val="08DC127E"/>
    <w:rsid w:val="08E14A6D"/>
    <w:rsid w:val="08F33D56"/>
    <w:rsid w:val="08F3699A"/>
    <w:rsid w:val="08F56F1F"/>
    <w:rsid w:val="08F57B33"/>
    <w:rsid w:val="09060B0B"/>
    <w:rsid w:val="09074A3C"/>
    <w:rsid w:val="090C58D8"/>
    <w:rsid w:val="09112E49"/>
    <w:rsid w:val="0915482B"/>
    <w:rsid w:val="091841F6"/>
    <w:rsid w:val="09187C60"/>
    <w:rsid w:val="091F5C96"/>
    <w:rsid w:val="09271825"/>
    <w:rsid w:val="09271C52"/>
    <w:rsid w:val="0929305C"/>
    <w:rsid w:val="092F54D3"/>
    <w:rsid w:val="0934696F"/>
    <w:rsid w:val="093700E7"/>
    <w:rsid w:val="093C56FD"/>
    <w:rsid w:val="094B2C56"/>
    <w:rsid w:val="094B5940"/>
    <w:rsid w:val="095401CE"/>
    <w:rsid w:val="095D4C00"/>
    <w:rsid w:val="095E33DE"/>
    <w:rsid w:val="095F3199"/>
    <w:rsid w:val="096043FD"/>
    <w:rsid w:val="096538BC"/>
    <w:rsid w:val="0966526A"/>
    <w:rsid w:val="09806F24"/>
    <w:rsid w:val="09906F83"/>
    <w:rsid w:val="099468CB"/>
    <w:rsid w:val="0997158E"/>
    <w:rsid w:val="099E7739"/>
    <w:rsid w:val="09AD1660"/>
    <w:rsid w:val="09B07E99"/>
    <w:rsid w:val="09B113C4"/>
    <w:rsid w:val="09B909EF"/>
    <w:rsid w:val="09C35E1E"/>
    <w:rsid w:val="09C538B4"/>
    <w:rsid w:val="09C676BC"/>
    <w:rsid w:val="09C7331E"/>
    <w:rsid w:val="09CB62F5"/>
    <w:rsid w:val="09CC1FC2"/>
    <w:rsid w:val="09CF6571"/>
    <w:rsid w:val="09CF7C69"/>
    <w:rsid w:val="09D749CF"/>
    <w:rsid w:val="09D9119E"/>
    <w:rsid w:val="09E17252"/>
    <w:rsid w:val="09EC1095"/>
    <w:rsid w:val="09EF09C1"/>
    <w:rsid w:val="09EF2B31"/>
    <w:rsid w:val="09F028E8"/>
    <w:rsid w:val="09F200F5"/>
    <w:rsid w:val="09F97D5E"/>
    <w:rsid w:val="09FD1E6C"/>
    <w:rsid w:val="09FE6E56"/>
    <w:rsid w:val="0A002FF4"/>
    <w:rsid w:val="0A0F44C7"/>
    <w:rsid w:val="0A20367F"/>
    <w:rsid w:val="0A266848"/>
    <w:rsid w:val="0A2A37A7"/>
    <w:rsid w:val="0A2F0DBE"/>
    <w:rsid w:val="0A31335C"/>
    <w:rsid w:val="0A33046A"/>
    <w:rsid w:val="0A387546"/>
    <w:rsid w:val="0A3B3C06"/>
    <w:rsid w:val="0A4D58DB"/>
    <w:rsid w:val="0A5310FD"/>
    <w:rsid w:val="0A582B4D"/>
    <w:rsid w:val="0A590531"/>
    <w:rsid w:val="0A5C6AF0"/>
    <w:rsid w:val="0A6615CE"/>
    <w:rsid w:val="0A7D026D"/>
    <w:rsid w:val="0A94402B"/>
    <w:rsid w:val="0A981059"/>
    <w:rsid w:val="0A984BB5"/>
    <w:rsid w:val="0A987AEC"/>
    <w:rsid w:val="0AA50E91"/>
    <w:rsid w:val="0AAB0DE7"/>
    <w:rsid w:val="0AB2201A"/>
    <w:rsid w:val="0AB34901"/>
    <w:rsid w:val="0ABD480C"/>
    <w:rsid w:val="0AC608B3"/>
    <w:rsid w:val="0AC60F09"/>
    <w:rsid w:val="0ACA635B"/>
    <w:rsid w:val="0AD66C98"/>
    <w:rsid w:val="0ADD2D54"/>
    <w:rsid w:val="0AE32C10"/>
    <w:rsid w:val="0AE37314"/>
    <w:rsid w:val="0AE41BA8"/>
    <w:rsid w:val="0AF044F7"/>
    <w:rsid w:val="0AF5500B"/>
    <w:rsid w:val="0AF64A4E"/>
    <w:rsid w:val="0AFD10D9"/>
    <w:rsid w:val="0B01340B"/>
    <w:rsid w:val="0B074E7B"/>
    <w:rsid w:val="0B0C5DBD"/>
    <w:rsid w:val="0B0E2276"/>
    <w:rsid w:val="0B0F3461"/>
    <w:rsid w:val="0B1431E4"/>
    <w:rsid w:val="0B15110A"/>
    <w:rsid w:val="0B2067CF"/>
    <w:rsid w:val="0B224FD8"/>
    <w:rsid w:val="0B234577"/>
    <w:rsid w:val="0B344073"/>
    <w:rsid w:val="0B410DC6"/>
    <w:rsid w:val="0B430CB2"/>
    <w:rsid w:val="0B483197"/>
    <w:rsid w:val="0B511D9F"/>
    <w:rsid w:val="0B564C52"/>
    <w:rsid w:val="0B575206"/>
    <w:rsid w:val="0B601682"/>
    <w:rsid w:val="0B612C7C"/>
    <w:rsid w:val="0B61769D"/>
    <w:rsid w:val="0B6A084F"/>
    <w:rsid w:val="0B6A71B4"/>
    <w:rsid w:val="0B7079F0"/>
    <w:rsid w:val="0B75372A"/>
    <w:rsid w:val="0B7961A7"/>
    <w:rsid w:val="0B860EB1"/>
    <w:rsid w:val="0B8B2A81"/>
    <w:rsid w:val="0B8E5FB8"/>
    <w:rsid w:val="0B8F7BE0"/>
    <w:rsid w:val="0BA92DF2"/>
    <w:rsid w:val="0BAE2EF7"/>
    <w:rsid w:val="0BB32F7C"/>
    <w:rsid w:val="0BB80509"/>
    <w:rsid w:val="0BBA10A9"/>
    <w:rsid w:val="0BCA1447"/>
    <w:rsid w:val="0BCB0247"/>
    <w:rsid w:val="0BD240F7"/>
    <w:rsid w:val="0BD63CD5"/>
    <w:rsid w:val="0BDF5C1B"/>
    <w:rsid w:val="0BE72829"/>
    <w:rsid w:val="0BED1456"/>
    <w:rsid w:val="0BEF4CA9"/>
    <w:rsid w:val="0BF87739"/>
    <w:rsid w:val="0C031D5D"/>
    <w:rsid w:val="0C1223A2"/>
    <w:rsid w:val="0C177D5B"/>
    <w:rsid w:val="0C1F793D"/>
    <w:rsid w:val="0C2C2436"/>
    <w:rsid w:val="0C2D6EE4"/>
    <w:rsid w:val="0C2F1549"/>
    <w:rsid w:val="0C302DF5"/>
    <w:rsid w:val="0C353652"/>
    <w:rsid w:val="0C387527"/>
    <w:rsid w:val="0C390BB9"/>
    <w:rsid w:val="0C3B7EEE"/>
    <w:rsid w:val="0C4072B2"/>
    <w:rsid w:val="0C477C77"/>
    <w:rsid w:val="0C49746F"/>
    <w:rsid w:val="0C4C20FB"/>
    <w:rsid w:val="0C4D7C21"/>
    <w:rsid w:val="0C4F74F5"/>
    <w:rsid w:val="0C554E4C"/>
    <w:rsid w:val="0C630518"/>
    <w:rsid w:val="0C6C19EF"/>
    <w:rsid w:val="0C6C7FB6"/>
    <w:rsid w:val="0C71218E"/>
    <w:rsid w:val="0C7B7C6D"/>
    <w:rsid w:val="0C851169"/>
    <w:rsid w:val="0C871CA3"/>
    <w:rsid w:val="0C8E2713"/>
    <w:rsid w:val="0C8F1C49"/>
    <w:rsid w:val="0C8F2CCB"/>
    <w:rsid w:val="0C9141AC"/>
    <w:rsid w:val="0C9750D9"/>
    <w:rsid w:val="0C994A84"/>
    <w:rsid w:val="0CAC0566"/>
    <w:rsid w:val="0CB33F28"/>
    <w:rsid w:val="0CB34C21"/>
    <w:rsid w:val="0CB95E6A"/>
    <w:rsid w:val="0CCE2B10"/>
    <w:rsid w:val="0CD777C3"/>
    <w:rsid w:val="0CE9025A"/>
    <w:rsid w:val="0CF04E00"/>
    <w:rsid w:val="0CF83635"/>
    <w:rsid w:val="0CFC21FF"/>
    <w:rsid w:val="0CFE3941"/>
    <w:rsid w:val="0D0246C5"/>
    <w:rsid w:val="0D0C3638"/>
    <w:rsid w:val="0D14139C"/>
    <w:rsid w:val="0D151E75"/>
    <w:rsid w:val="0D181959"/>
    <w:rsid w:val="0D3B603D"/>
    <w:rsid w:val="0D4731DE"/>
    <w:rsid w:val="0D473924"/>
    <w:rsid w:val="0D4950F4"/>
    <w:rsid w:val="0D4A474A"/>
    <w:rsid w:val="0D4F1E8D"/>
    <w:rsid w:val="0D500F90"/>
    <w:rsid w:val="0D512007"/>
    <w:rsid w:val="0D5573F5"/>
    <w:rsid w:val="0D562B05"/>
    <w:rsid w:val="0D5A63DD"/>
    <w:rsid w:val="0D647197"/>
    <w:rsid w:val="0D660202"/>
    <w:rsid w:val="0D6946FF"/>
    <w:rsid w:val="0D72496B"/>
    <w:rsid w:val="0D844030"/>
    <w:rsid w:val="0D8F7523"/>
    <w:rsid w:val="0D921D8F"/>
    <w:rsid w:val="0D974E8F"/>
    <w:rsid w:val="0D9F412A"/>
    <w:rsid w:val="0DA67E5A"/>
    <w:rsid w:val="0DA815B3"/>
    <w:rsid w:val="0DAD1B0E"/>
    <w:rsid w:val="0DAF56EA"/>
    <w:rsid w:val="0DB00467"/>
    <w:rsid w:val="0DB215DA"/>
    <w:rsid w:val="0DB368C7"/>
    <w:rsid w:val="0DB7231A"/>
    <w:rsid w:val="0DBC7B72"/>
    <w:rsid w:val="0DCB704F"/>
    <w:rsid w:val="0DCC3424"/>
    <w:rsid w:val="0DD203DE"/>
    <w:rsid w:val="0DD209A7"/>
    <w:rsid w:val="0DD34156"/>
    <w:rsid w:val="0DD43B32"/>
    <w:rsid w:val="0DDF2AFB"/>
    <w:rsid w:val="0DE359E4"/>
    <w:rsid w:val="0DE479CC"/>
    <w:rsid w:val="0DE528BF"/>
    <w:rsid w:val="0DE52D71"/>
    <w:rsid w:val="0DE60C5B"/>
    <w:rsid w:val="0DEA2487"/>
    <w:rsid w:val="0DF85D40"/>
    <w:rsid w:val="0E022F26"/>
    <w:rsid w:val="0E0752AB"/>
    <w:rsid w:val="0E081C94"/>
    <w:rsid w:val="0E0977AB"/>
    <w:rsid w:val="0E0C7A0C"/>
    <w:rsid w:val="0E0D58BA"/>
    <w:rsid w:val="0E1518A1"/>
    <w:rsid w:val="0E154F79"/>
    <w:rsid w:val="0E1A223E"/>
    <w:rsid w:val="0E1F1149"/>
    <w:rsid w:val="0E1F66E4"/>
    <w:rsid w:val="0E230F01"/>
    <w:rsid w:val="0E245396"/>
    <w:rsid w:val="0E277924"/>
    <w:rsid w:val="0E2830CC"/>
    <w:rsid w:val="0E2D3544"/>
    <w:rsid w:val="0E3052CF"/>
    <w:rsid w:val="0E3177FA"/>
    <w:rsid w:val="0E3A360C"/>
    <w:rsid w:val="0E3D3B87"/>
    <w:rsid w:val="0E4176BE"/>
    <w:rsid w:val="0E444114"/>
    <w:rsid w:val="0E4846D0"/>
    <w:rsid w:val="0E582D88"/>
    <w:rsid w:val="0E63372C"/>
    <w:rsid w:val="0E6366C2"/>
    <w:rsid w:val="0E653000"/>
    <w:rsid w:val="0E6F0323"/>
    <w:rsid w:val="0E7531D3"/>
    <w:rsid w:val="0E774BCB"/>
    <w:rsid w:val="0E782F04"/>
    <w:rsid w:val="0E7A51F7"/>
    <w:rsid w:val="0E7E40C2"/>
    <w:rsid w:val="0E8042DE"/>
    <w:rsid w:val="0E822B53"/>
    <w:rsid w:val="0E85046A"/>
    <w:rsid w:val="0E896B86"/>
    <w:rsid w:val="0E902A86"/>
    <w:rsid w:val="0E925DBF"/>
    <w:rsid w:val="0E9D70C0"/>
    <w:rsid w:val="0EA578A0"/>
    <w:rsid w:val="0EA659ED"/>
    <w:rsid w:val="0EAA40D1"/>
    <w:rsid w:val="0EAC4607"/>
    <w:rsid w:val="0EB01787"/>
    <w:rsid w:val="0EBA0F54"/>
    <w:rsid w:val="0EBF6C44"/>
    <w:rsid w:val="0EC73CBB"/>
    <w:rsid w:val="0EC81B81"/>
    <w:rsid w:val="0ECF3B26"/>
    <w:rsid w:val="0ED75A18"/>
    <w:rsid w:val="0EDB32C2"/>
    <w:rsid w:val="0EE15D3B"/>
    <w:rsid w:val="0EE80EC9"/>
    <w:rsid w:val="0EE93AAF"/>
    <w:rsid w:val="0EEB1B2B"/>
    <w:rsid w:val="0EF33893"/>
    <w:rsid w:val="0EF34AB0"/>
    <w:rsid w:val="0EF6634E"/>
    <w:rsid w:val="0EF746CA"/>
    <w:rsid w:val="0F0071CD"/>
    <w:rsid w:val="0F076FEA"/>
    <w:rsid w:val="0F247109"/>
    <w:rsid w:val="0F2F5E02"/>
    <w:rsid w:val="0F363C25"/>
    <w:rsid w:val="0F37549A"/>
    <w:rsid w:val="0F407698"/>
    <w:rsid w:val="0F42384C"/>
    <w:rsid w:val="0F442871"/>
    <w:rsid w:val="0F4E5E71"/>
    <w:rsid w:val="0F5849D9"/>
    <w:rsid w:val="0F59491B"/>
    <w:rsid w:val="0F5D716D"/>
    <w:rsid w:val="0F5F3EF3"/>
    <w:rsid w:val="0F5F5CA1"/>
    <w:rsid w:val="0F672123"/>
    <w:rsid w:val="0F6E5520"/>
    <w:rsid w:val="0F781A43"/>
    <w:rsid w:val="0F7B797C"/>
    <w:rsid w:val="0F7F4595"/>
    <w:rsid w:val="0F81090A"/>
    <w:rsid w:val="0F8D5572"/>
    <w:rsid w:val="0F9025B4"/>
    <w:rsid w:val="0F9A4F2B"/>
    <w:rsid w:val="0F9D2C6D"/>
    <w:rsid w:val="0FA4744A"/>
    <w:rsid w:val="0FA925CB"/>
    <w:rsid w:val="0FAC4C5F"/>
    <w:rsid w:val="0FAD2468"/>
    <w:rsid w:val="0FB85276"/>
    <w:rsid w:val="0FB9345C"/>
    <w:rsid w:val="0FBF27C0"/>
    <w:rsid w:val="0FC226D4"/>
    <w:rsid w:val="0FCA537C"/>
    <w:rsid w:val="0FCC70AF"/>
    <w:rsid w:val="0FDA17CC"/>
    <w:rsid w:val="0FEE63C1"/>
    <w:rsid w:val="0FF528EF"/>
    <w:rsid w:val="0FFA33A8"/>
    <w:rsid w:val="0FFC5235"/>
    <w:rsid w:val="100F4811"/>
    <w:rsid w:val="10100E06"/>
    <w:rsid w:val="101227F2"/>
    <w:rsid w:val="1017737C"/>
    <w:rsid w:val="101A6F1E"/>
    <w:rsid w:val="10254813"/>
    <w:rsid w:val="10282537"/>
    <w:rsid w:val="102D2444"/>
    <w:rsid w:val="102D3EDB"/>
    <w:rsid w:val="102D43CA"/>
    <w:rsid w:val="103147C7"/>
    <w:rsid w:val="10332611"/>
    <w:rsid w:val="10375C43"/>
    <w:rsid w:val="103D2AC6"/>
    <w:rsid w:val="104135F9"/>
    <w:rsid w:val="10450FF1"/>
    <w:rsid w:val="10464DDE"/>
    <w:rsid w:val="104657EE"/>
    <w:rsid w:val="10485B23"/>
    <w:rsid w:val="106A0DA2"/>
    <w:rsid w:val="106A1E92"/>
    <w:rsid w:val="106D1EC7"/>
    <w:rsid w:val="106D3B17"/>
    <w:rsid w:val="107514F4"/>
    <w:rsid w:val="10777B43"/>
    <w:rsid w:val="10782EE0"/>
    <w:rsid w:val="10803567"/>
    <w:rsid w:val="108102F8"/>
    <w:rsid w:val="108310D5"/>
    <w:rsid w:val="108871F8"/>
    <w:rsid w:val="108B70E7"/>
    <w:rsid w:val="1092004E"/>
    <w:rsid w:val="10924D97"/>
    <w:rsid w:val="109B1444"/>
    <w:rsid w:val="109E55B3"/>
    <w:rsid w:val="109F1D24"/>
    <w:rsid w:val="10A019FE"/>
    <w:rsid w:val="10A66DDF"/>
    <w:rsid w:val="10AB2DD6"/>
    <w:rsid w:val="10AE3431"/>
    <w:rsid w:val="10AE6AEF"/>
    <w:rsid w:val="10B169D0"/>
    <w:rsid w:val="10B31E52"/>
    <w:rsid w:val="10B43479"/>
    <w:rsid w:val="10B52936"/>
    <w:rsid w:val="10BE0FB7"/>
    <w:rsid w:val="10C83D1A"/>
    <w:rsid w:val="10C966D0"/>
    <w:rsid w:val="10D27165"/>
    <w:rsid w:val="10D92E19"/>
    <w:rsid w:val="10EB66F7"/>
    <w:rsid w:val="10ED1000"/>
    <w:rsid w:val="10FB40F0"/>
    <w:rsid w:val="10FD1C16"/>
    <w:rsid w:val="11052878"/>
    <w:rsid w:val="11083EDD"/>
    <w:rsid w:val="1108514A"/>
    <w:rsid w:val="1109598B"/>
    <w:rsid w:val="110A3BF2"/>
    <w:rsid w:val="110D0234"/>
    <w:rsid w:val="110F1949"/>
    <w:rsid w:val="11196DCE"/>
    <w:rsid w:val="111B1BA7"/>
    <w:rsid w:val="11254DE0"/>
    <w:rsid w:val="113220B9"/>
    <w:rsid w:val="113B0DB4"/>
    <w:rsid w:val="1140061F"/>
    <w:rsid w:val="11402F4C"/>
    <w:rsid w:val="114B50A7"/>
    <w:rsid w:val="115F066E"/>
    <w:rsid w:val="115F6304"/>
    <w:rsid w:val="11686481"/>
    <w:rsid w:val="11695EA2"/>
    <w:rsid w:val="116F1FF6"/>
    <w:rsid w:val="11872970"/>
    <w:rsid w:val="118D41A7"/>
    <w:rsid w:val="11930BB2"/>
    <w:rsid w:val="119A7E08"/>
    <w:rsid w:val="119D788A"/>
    <w:rsid w:val="119F2CCD"/>
    <w:rsid w:val="119F327E"/>
    <w:rsid w:val="11AA4801"/>
    <w:rsid w:val="11AB5249"/>
    <w:rsid w:val="11AE5779"/>
    <w:rsid w:val="11CB5870"/>
    <w:rsid w:val="11D11BBF"/>
    <w:rsid w:val="11D27D52"/>
    <w:rsid w:val="11D45ED5"/>
    <w:rsid w:val="11DB182B"/>
    <w:rsid w:val="11E06E41"/>
    <w:rsid w:val="11E123A9"/>
    <w:rsid w:val="11E14D1F"/>
    <w:rsid w:val="11E4732B"/>
    <w:rsid w:val="11E50230"/>
    <w:rsid w:val="11F86DDE"/>
    <w:rsid w:val="11F90B0F"/>
    <w:rsid w:val="11F97F10"/>
    <w:rsid w:val="11FF0ECB"/>
    <w:rsid w:val="120F683F"/>
    <w:rsid w:val="12154D3D"/>
    <w:rsid w:val="121A0012"/>
    <w:rsid w:val="1230601B"/>
    <w:rsid w:val="12331667"/>
    <w:rsid w:val="12333415"/>
    <w:rsid w:val="1239648C"/>
    <w:rsid w:val="123A29F6"/>
    <w:rsid w:val="124045A2"/>
    <w:rsid w:val="124666C8"/>
    <w:rsid w:val="12502219"/>
    <w:rsid w:val="12571F4D"/>
    <w:rsid w:val="12574909"/>
    <w:rsid w:val="12577104"/>
    <w:rsid w:val="12582F7C"/>
    <w:rsid w:val="1258360C"/>
    <w:rsid w:val="125A0F80"/>
    <w:rsid w:val="12641900"/>
    <w:rsid w:val="126B0B7D"/>
    <w:rsid w:val="126C5A39"/>
    <w:rsid w:val="126E4C83"/>
    <w:rsid w:val="127475DC"/>
    <w:rsid w:val="12765C8C"/>
    <w:rsid w:val="127A74CF"/>
    <w:rsid w:val="127B7F3B"/>
    <w:rsid w:val="128D521B"/>
    <w:rsid w:val="128E0C32"/>
    <w:rsid w:val="12955E7E"/>
    <w:rsid w:val="12A316F4"/>
    <w:rsid w:val="12A7303C"/>
    <w:rsid w:val="12A77D45"/>
    <w:rsid w:val="12A92919"/>
    <w:rsid w:val="12B20570"/>
    <w:rsid w:val="12CC18C2"/>
    <w:rsid w:val="12CD1ABC"/>
    <w:rsid w:val="12E43A7C"/>
    <w:rsid w:val="12ED3D71"/>
    <w:rsid w:val="12EF31E6"/>
    <w:rsid w:val="12F157AA"/>
    <w:rsid w:val="12F749B7"/>
    <w:rsid w:val="130242F5"/>
    <w:rsid w:val="130C4FF1"/>
    <w:rsid w:val="13161D6D"/>
    <w:rsid w:val="13203999"/>
    <w:rsid w:val="1328309C"/>
    <w:rsid w:val="13330318"/>
    <w:rsid w:val="13362E80"/>
    <w:rsid w:val="13370CE3"/>
    <w:rsid w:val="133762F5"/>
    <w:rsid w:val="133C2465"/>
    <w:rsid w:val="134578B2"/>
    <w:rsid w:val="13503B0D"/>
    <w:rsid w:val="135705CC"/>
    <w:rsid w:val="13581385"/>
    <w:rsid w:val="135B539A"/>
    <w:rsid w:val="135D4DFE"/>
    <w:rsid w:val="1363084D"/>
    <w:rsid w:val="136379A4"/>
    <w:rsid w:val="13653AA2"/>
    <w:rsid w:val="13675A6C"/>
    <w:rsid w:val="136A10B9"/>
    <w:rsid w:val="136B45C6"/>
    <w:rsid w:val="13777FE7"/>
    <w:rsid w:val="137A346E"/>
    <w:rsid w:val="137B4139"/>
    <w:rsid w:val="137C644D"/>
    <w:rsid w:val="137C71F4"/>
    <w:rsid w:val="137E6027"/>
    <w:rsid w:val="13806E42"/>
    <w:rsid w:val="138C12A5"/>
    <w:rsid w:val="138D525B"/>
    <w:rsid w:val="138E154F"/>
    <w:rsid w:val="13902755"/>
    <w:rsid w:val="13907AC5"/>
    <w:rsid w:val="13945107"/>
    <w:rsid w:val="13AB0BDC"/>
    <w:rsid w:val="13AC720B"/>
    <w:rsid w:val="13AE61F7"/>
    <w:rsid w:val="13AE7A1D"/>
    <w:rsid w:val="13B44801"/>
    <w:rsid w:val="13B46A13"/>
    <w:rsid w:val="13C47CD1"/>
    <w:rsid w:val="13C8306A"/>
    <w:rsid w:val="13DD0A55"/>
    <w:rsid w:val="13E26E54"/>
    <w:rsid w:val="13F42110"/>
    <w:rsid w:val="13F929F7"/>
    <w:rsid w:val="140832BF"/>
    <w:rsid w:val="14087B2C"/>
    <w:rsid w:val="140E413A"/>
    <w:rsid w:val="14164DCD"/>
    <w:rsid w:val="14165B51"/>
    <w:rsid w:val="141D25CF"/>
    <w:rsid w:val="14240111"/>
    <w:rsid w:val="142A61B5"/>
    <w:rsid w:val="142E6206"/>
    <w:rsid w:val="14363A59"/>
    <w:rsid w:val="143C1768"/>
    <w:rsid w:val="14453ED4"/>
    <w:rsid w:val="14467430"/>
    <w:rsid w:val="144A3E91"/>
    <w:rsid w:val="144E2788"/>
    <w:rsid w:val="14515DD5"/>
    <w:rsid w:val="14522D9C"/>
    <w:rsid w:val="145D3279"/>
    <w:rsid w:val="145D717C"/>
    <w:rsid w:val="1467758B"/>
    <w:rsid w:val="146A26EA"/>
    <w:rsid w:val="147044A8"/>
    <w:rsid w:val="14733DB7"/>
    <w:rsid w:val="14762B4B"/>
    <w:rsid w:val="147F0B94"/>
    <w:rsid w:val="14830684"/>
    <w:rsid w:val="14833059"/>
    <w:rsid w:val="14836D81"/>
    <w:rsid w:val="14884750"/>
    <w:rsid w:val="14894D86"/>
    <w:rsid w:val="14980346"/>
    <w:rsid w:val="14981261"/>
    <w:rsid w:val="14985FA8"/>
    <w:rsid w:val="14A80541"/>
    <w:rsid w:val="14AD3953"/>
    <w:rsid w:val="14AE180B"/>
    <w:rsid w:val="14AE3227"/>
    <w:rsid w:val="14AF4D2A"/>
    <w:rsid w:val="14B32620"/>
    <w:rsid w:val="14B44CE1"/>
    <w:rsid w:val="14B5006D"/>
    <w:rsid w:val="14B628D7"/>
    <w:rsid w:val="14B7032D"/>
    <w:rsid w:val="14BC5944"/>
    <w:rsid w:val="14BE5CBC"/>
    <w:rsid w:val="14BF5434"/>
    <w:rsid w:val="14C71605"/>
    <w:rsid w:val="14D013EF"/>
    <w:rsid w:val="14E153AA"/>
    <w:rsid w:val="14E8498B"/>
    <w:rsid w:val="14E9795E"/>
    <w:rsid w:val="14EA24B1"/>
    <w:rsid w:val="14EF1355"/>
    <w:rsid w:val="14FA4A2E"/>
    <w:rsid w:val="14FB1EB0"/>
    <w:rsid w:val="14FC0D6C"/>
    <w:rsid w:val="14FC76A0"/>
    <w:rsid w:val="14FD0DCE"/>
    <w:rsid w:val="150A7E24"/>
    <w:rsid w:val="150C1B47"/>
    <w:rsid w:val="15100E4A"/>
    <w:rsid w:val="151116C0"/>
    <w:rsid w:val="15187DA3"/>
    <w:rsid w:val="151C63E2"/>
    <w:rsid w:val="15233C15"/>
    <w:rsid w:val="152351B0"/>
    <w:rsid w:val="15273705"/>
    <w:rsid w:val="152B11F6"/>
    <w:rsid w:val="153674A4"/>
    <w:rsid w:val="153C0833"/>
    <w:rsid w:val="15431963"/>
    <w:rsid w:val="154716B1"/>
    <w:rsid w:val="154A2F50"/>
    <w:rsid w:val="154C7F06"/>
    <w:rsid w:val="154D0966"/>
    <w:rsid w:val="154E2DFB"/>
    <w:rsid w:val="15574F5C"/>
    <w:rsid w:val="155B7192"/>
    <w:rsid w:val="15647C2E"/>
    <w:rsid w:val="156E5B1E"/>
    <w:rsid w:val="1573137B"/>
    <w:rsid w:val="157D68A9"/>
    <w:rsid w:val="158A796A"/>
    <w:rsid w:val="159266A5"/>
    <w:rsid w:val="15995C85"/>
    <w:rsid w:val="159A54E8"/>
    <w:rsid w:val="159C3F5D"/>
    <w:rsid w:val="15A03A20"/>
    <w:rsid w:val="15A96271"/>
    <w:rsid w:val="15AF3DB9"/>
    <w:rsid w:val="15B80CB3"/>
    <w:rsid w:val="15B8610B"/>
    <w:rsid w:val="15BB7172"/>
    <w:rsid w:val="15C57D9C"/>
    <w:rsid w:val="15C6265A"/>
    <w:rsid w:val="15D00321"/>
    <w:rsid w:val="15D135CA"/>
    <w:rsid w:val="15D1541F"/>
    <w:rsid w:val="15D54037"/>
    <w:rsid w:val="15DB6451"/>
    <w:rsid w:val="15E05662"/>
    <w:rsid w:val="15E11B06"/>
    <w:rsid w:val="15E45152"/>
    <w:rsid w:val="15E61BE9"/>
    <w:rsid w:val="15E96A26"/>
    <w:rsid w:val="15EC2259"/>
    <w:rsid w:val="15F829AC"/>
    <w:rsid w:val="15F9695B"/>
    <w:rsid w:val="16135A37"/>
    <w:rsid w:val="1620593B"/>
    <w:rsid w:val="16295ED3"/>
    <w:rsid w:val="162A638D"/>
    <w:rsid w:val="162B0876"/>
    <w:rsid w:val="162B21DB"/>
    <w:rsid w:val="16322361"/>
    <w:rsid w:val="16360BC6"/>
    <w:rsid w:val="163D689C"/>
    <w:rsid w:val="163F3B4B"/>
    <w:rsid w:val="16431729"/>
    <w:rsid w:val="16470FC6"/>
    <w:rsid w:val="164C696F"/>
    <w:rsid w:val="16504596"/>
    <w:rsid w:val="16557DFE"/>
    <w:rsid w:val="16576B21"/>
    <w:rsid w:val="1659081D"/>
    <w:rsid w:val="1664519E"/>
    <w:rsid w:val="166A69EE"/>
    <w:rsid w:val="167209B0"/>
    <w:rsid w:val="16727EA7"/>
    <w:rsid w:val="16742758"/>
    <w:rsid w:val="16745BAD"/>
    <w:rsid w:val="1683496B"/>
    <w:rsid w:val="16846935"/>
    <w:rsid w:val="16893F4C"/>
    <w:rsid w:val="16980CD8"/>
    <w:rsid w:val="16996543"/>
    <w:rsid w:val="169F0386"/>
    <w:rsid w:val="16A3472C"/>
    <w:rsid w:val="16AB3F2C"/>
    <w:rsid w:val="16AE4F75"/>
    <w:rsid w:val="16B02DA2"/>
    <w:rsid w:val="16B16DE2"/>
    <w:rsid w:val="16B32DDC"/>
    <w:rsid w:val="16B4362E"/>
    <w:rsid w:val="16B75B67"/>
    <w:rsid w:val="16BE50A3"/>
    <w:rsid w:val="16C756BB"/>
    <w:rsid w:val="16CF0FF2"/>
    <w:rsid w:val="16DB4783"/>
    <w:rsid w:val="16E01DBD"/>
    <w:rsid w:val="16E7750B"/>
    <w:rsid w:val="16EE5421"/>
    <w:rsid w:val="16F05D79"/>
    <w:rsid w:val="16F94C2D"/>
    <w:rsid w:val="16FF2078"/>
    <w:rsid w:val="16FF4BA3"/>
    <w:rsid w:val="170200D8"/>
    <w:rsid w:val="17055991"/>
    <w:rsid w:val="170F26A3"/>
    <w:rsid w:val="17111053"/>
    <w:rsid w:val="171C37DC"/>
    <w:rsid w:val="171F0B4E"/>
    <w:rsid w:val="17220DA9"/>
    <w:rsid w:val="17225EE4"/>
    <w:rsid w:val="17232F32"/>
    <w:rsid w:val="17250D87"/>
    <w:rsid w:val="17306175"/>
    <w:rsid w:val="173418C8"/>
    <w:rsid w:val="1737076F"/>
    <w:rsid w:val="173C1319"/>
    <w:rsid w:val="174165D4"/>
    <w:rsid w:val="17481FEB"/>
    <w:rsid w:val="174F1D5F"/>
    <w:rsid w:val="175414DC"/>
    <w:rsid w:val="1755724A"/>
    <w:rsid w:val="175F49F4"/>
    <w:rsid w:val="17647FE9"/>
    <w:rsid w:val="1767603B"/>
    <w:rsid w:val="176C0764"/>
    <w:rsid w:val="17706F49"/>
    <w:rsid w:val="17725E5E"/>
    <w:rsid w:val="17734334"/>
    <w:rsid w:val="178016EA"/>
    <w:rsid w:val="17803AE4"/>
    <w:rsid w:val="178809D0"/>
    <w:rsid w:val="178E0065"/>
    <w:rsid w:val="17936E30"/>
    <w:rsid w:val="179608AA"/>
    <w:rsid w:val="179B74C5"/>
    <w:rsid w:val="179F387B"/>
    <w:rsid w:val="17A34217"/>
    <w:rsid w:val="17A50E90"/>
    <w:rsid w:val="17AE0DC7"/>
    <w:rsid w:val="17B03166"/>
    <w:rsid w:val="17B2302E"/>
    <w:rsid w:val="17B51E7E"/>
    <w:rsid w:val="17BB128C"/>
    <w:rsid w:val="17D10D96"/>
    <w:rsid w:val="17D445F1"/>
    <w:rsid w:val="17D84957"/>
    <w:rsid w:val="17DA0C7E"/>
    <w:rsid w:val="17DF02C7"/>
    <w:rsid w:val="17E24CC3"/>
    <w:rsid w:val="17EF6030"/>
    <w:rsid w:val="17F3645D"/>
    <w:rsid w:val="17F67671"/>
    <w:rsid w:val="17FD5D38"/>
    <w:rsid w:val="17FE25B8"/>
    <w:rsid w:val="180A470B"/>
    <w:rsid w:val="181141F9"/>
    <w:rsid w:val="181B0BA7"/>
    <w:rsid w:val="181F5D31"/>
    <w:rsid w:val="1832129F"/>
    <w:rsid w:val="1839615F"/>
    <w:rsid w:val="18464E68"/>
    <w:rsid w:val="18484EFA"/>
    <w:rsid w:val="18506ACF"/>
    <w:rsid w:val="18521DBC"/>
    <w:rsid w:val="18550589"/>
    <w:rsid w:val="18571710"/>
    <w:rsid w:val="186079BC"/>
    <w:rsid w:val="186521EA"/>
    <w:rsid w:val="186E22E5"/>
    <w:rsid w:val="1870428D"/>
    <w:rsid w:val="187113A1"/>
    <w:rsid w:val="18716A45"/>
    <w:rsid w:val="188E3A9B"/>
    <w:rsid w:val="18967013"/>
    <w:rsid w:val="18983466"/>
    <w:rsid w:val="189A41EE"/>
    <w:rsid w:val="189F627D"/>
    <w:rsid w:val="18A17D8D"/>
    <w:rsid w:val="18AF25E7"/>
    <w:rsid w:val="18B34A21"/>
    <w:rsid w:val="18B51028"/>
    <w:rsid w:val="18BA1662"/>
    <w:rsid w:val="18C55A44"/>
    <w:rsid w:val="18C80C36"/>
    <w:rsid w:val="18D50EDD"/>
    <w:rsid w:val="18DD4CA7"/>
    <w:rsid w:val="18EC7C03"/>
    <w:rsid w:val="18EE61ED"/>
    <w:rsid w:val="18EF3D9A"/>
    <w:rsid w:val="18EF4924"/>
    <w:rsid w:val="18F002B2"/>
    <w:rsid w:val="18FA4C8D"/>
    <w:rsid w:val="18FC27B3"/>
    <w:rsid w:val="18FD6092"/>
    <w:rsid w:val="19057223"/>
    <w:rsid w:val="190B2F88"/>
    <w:rsid w:val="190C7BE9"/>
    <w:rsid w:val="190D2C12"/>
    <w:rsid w:val="190E4405"/>
    <w:rsid w:val="19131002"/>
    <w:rsid w:val="191428A5"/>
    <w:rsid w:val="191C7F30"/>
    <w:rsid w:val="191F1353"/>
    <w:rsid w:val="19260EBB"/>
    <w:rsid w:val="19267830"/>
    <w:rsid w:val="192B1E28"/>
    <w:rsid w:val="19335F23"/>
    <w:rsid w:val="19356563"/>
    <w:rsid w:val="19357C9E"/>
    <w:rsid w:val="19371464"/>
    <w:rsid w:val="193740FE"/>
    <w:rsid w:val="19422A47"/>
    <w:rsid w:val="19427430"/>
    <w:rsid w:val="194523AC"/>
    <w:rsid w:val="194659D0"/>
    <w:rsid w:val="19483C4A"/>
    <w:rsid w:val="194B54E8"/>
    <w:rsid w:val="194C5847"/>
    <w:rsid w:val="195230B0"/>
    <w:rsid w:val="195C76F5"/>
    <w:rsid w:val="19641A96"/>
    <w:rsid w:val="196E64BE"/>
    <w:rsid w:val="1971760A"/>
    <w:rsid w:val="197D295C"/>
    <w:rsid w:val="197E6C3F"/>
    <w:rsid w:val="19837F2B"/>
    <w:rsid w:val="198E4ADD"/>
    <w:rsid w:val="19902AFC"/>
    <w:rsid w:val="199672E7"/>
    <w:rsid w:val="19972716"/>
    <w:rsid w:val="199D62BF"/>
    <w:rsid w:val="199E7D0E"/>
    <w:rsid w:val="19A30E80"/>
    <w:rsid w:val="19A97F10"/>
    <w:rsid w:val="19B572ED"/>
    <w:rsid w:val="19B949B1"/>
    <w:rsid w:val="19C35441"/>
    <w:rsid w:val="19C432EB"/>
    <w:rsid w:val="19C917A2"/>
    <w:rsid w:val="19CE05F3"/>
    <w:rsid w:val="19D52258"/>
    <w:rsid w:val="19E327BE"/>
    <w:rsid w:val="19EB1CD9"/>
    <w:rsid w:val="19EF4C0D"/>
    <w:rsid w:val="19F142E2"/>
    <w:rsid w:val="19F618F8"/>
    <w:rsid w:val="1A0062D3"/>
    <w:rsid w:val="1A026276"/>
    <w:rsid w:val="1A0309B6"/>
    <w:rsid w:val="1A0933D9"/>
    <w:rsid w:val="1A0A62AD"/>
    <w:rsid w:val="1A0F1A8D"/>
    <w:rsid w:val="1A165320"/>
    <w:rsid w:val="1A1E40B7"/>
    <w:rsid w:val="1A2139FD"/>
    <w:rsid w:val="1A251B21"/>
    <w:rsid w:val="1A267AB0"/>
    <w:rsid w:val="1A312E6E"/>
    <w:rsid w:val="1A335AC6"/>
    <w:rsid w:val="1A344F86"/>
    <w:rsid w:val="1A3861DE"/>
    <w:rsid w:val="1A3B657F"/>
    <w:rsid w:val="1A400DC5"/>
    <w:rsid w:val="1A5E1F16"/>
    <w:rsid w:val="1A693034"/>
    <w:rsid w:val="1A6B70F4"/>
    <w:rsid w:val="1A6F5D84"/>
    <w:rsid w:val="1A736AA5"/>
    <w:rsid w:val="1A7752BF"/>
    <w:rsid w:val="1A7D6896"/>
    <w:rsid w:val="1A8767BB"/>
    <w:rsid w:val="1A8D59CC"/>
    <w:rsid w:val="1A935399"/>
    <w:rsid w:val="1A951075"/>
    <w:rsid w:val="1AA41354"/>
    <w:rsid w:val="1AB5530F"/>
    <w:rsid w:val="1AC1038F"/>
    <w:rsid w:val="1AC217DA"/>
    <w:rsid w:val="1ADD213D"/>
    <w:rsid w:val="1AF44089"/>
    <w:rsid w:val="1AF73316"/>
    <w:rsid w:val="1B084BA0"/>
    <w:rsid w:val="1B1B2FEE"/>
    <w:rsid w:val="1B1C0EEA"/>
    <w:rsid w:val="1B1C70FB"/>
    <w:rsid w:val="1B216501"/>
    <w:rsid w:val="1B2565BA"/>
    <w:rsid w:val="1B2F4DB4"/>
    <w:rsid w:val="1B3920FD"/>
    <w:rsid w:val="1B3C158C"/>
    <w:rsid w:val="1B3E75FE"/>
    <w:rsid w:val="1B3F4AA5"/>
    <w:rsid w:val="1B436C57"/>
    <w:rsid w:val="1B4445D4"/>
    <w:rsid w:val="1B487A29"/>
    <w:rsid w:val="1B487F31"/>
    <w:rsid w:val="1B497D6A"/>
    <w:rsid w:val="1B4D40EA"/>
    <w:rsid w:val="1B4D7482"/>
    <w:rsid w:val="1B53501C"/>
    <w:rsid w:val="1B55264E"/>
    <w:rsid w:val="1B5552EC"/>
    <w:rsid w:val="1B734D5C"/>
    <w:rsid w:val="1B7D764D"/>
    <w:rsid w:val="1B811695"/>
    <w:rsid w:val="1B882A3C"/>
    <w:rsid w:val="1B8960A8"/>
    <w:rsid w:val="1B961E1C"/>
    <w:rsid w:val="1B9E43FC"/>
    <w:rsid w:val="1BA23AE5"/>
    <w:rsid w:val="1BA46876"/>
    <w:rsid w:val="1BA535D6"/>
    <w:rsid w:val="1BAB4F8A"/>
    <w:rsid w:val="1BB11F7A"/>
    <w:rsid w:val="1BB6133F"/>
    <w:rsid w:val="1BB76E65"/>
    <w:rsid w:val="1BB91EC5"/>
    <w:rsid w:val="1BBB4BA7"/>
    <w:rsid w:val="1BC60287"/>
    <w:rsid w:val="1BCD0437"/>
    <w:rsid w:val="1BCE3C93"/>
    <w:rsid w:val="1BD042EB"/>
    <w:rsid w:val="1BD56CFD"/>
    <w:rsid w:val="1BDB6A70"/>
    <w:rsid w:val="1BE05D71"/>
    <w:rsid w:val="1BE90CCA"/>
    <w:rsid w:val="1BF072B3"/>
    <w:rsid w:val="1BF91482"/>
    <w:rsid w:val="1BFB31F6"/>
    <w:rsid w:val="1C003C97"/>
    <w:rsid w:val="1C093B64"/>
    <w:rsid w:val="1C0F54D2"/>
    <w:rsid w:val="1C10051F"/>
    <w:rsid w:val="1C125A52"/>
    <w:rsid w:val="1C191A02"/>
    <w:rsid w:val="1C1E0AA7"/>
    <w:rsid w:val="1C2B5B70"/>
    <w:rsid w:val="1C2B6713"/>
    <w:rsid w:val="1C2E2909"/>
    <w:rsid w:val="1C2E5379"/>
    <w:rsid w:val="1C2E7701"/>
    <w:rsid w:val="1C31454F"/>
    <w:rsid w:val="1C324D0B"/>
    <w:rsid w:val="1C36422E"/>
    <w:rsid w:val="1C395ACC"/>
    <w:rsid w:val="1C423A03"/>
    <w:rsid w:val="1C4B0D36"/>
    <w:rsid w:val="1C4D12FA"/>
    <w:rsid w:val="1C4F65C7"/>
    <w:rsid w:val="1C513AD7"/>
    <w:rsid w:val="1C52074B"/>
    <w:rsid w:val="1C56042C"/>
    <w:rsid w:val="1C594C5F"/>
    <w:rsid w:val="1C636075"/>
    <w:rsid w:val="1C6A4C3A"/>
    <w:rsid w:val="1C6B5A1F"/>
    <w:rsid w:val="1C78166D"/>
    <w:rsid w:val="1C7B60E4"/>
    <w:rsid w:val="1C7D3C0B"/>
    <w:rsid w:val="1C7D4405"/>
    <w:rsid w:val="1C7F5BD5"/>
    <w:rsid w:val="1C7F682A"/>
    <w:rsid w:val="1C8054A9"/>
    <w:rsid w:val="1C850D11"/>
    <w:rsid w:val="1C8B457A"/>
    <w:rsid w:val="1C8C401D"/>
    <w:rsid w:val="1C931680"/>
    <w:rsid w:val="1C9F1715"/>
    <w:rsid w:val="1CAF530D"/>
    <w:rsid w:val="1CB05DCD"/>
    <w:rsid w:val="1CC01D49"/>
    <w:rsid w:val="1CC43986"/>
    <w:rsid w:val="1CD6156D"/>
    <w:rsid w:val="1CD64E0A"/>
    <w:rsid w:val="1CDA2E0B"/>
    <w:rsid w:val="1CDB1039"/>
    <w:rsid w:val="1CDC7546"/>
    <w:rsid w:val="1CE41EDC"/>
    <w:rsid w:val="1CE43C8A"/>
    <w:rsid w:val="1CED5103"/>
    <w:rsid w:val="1CF4535F"/>
    <w:rsid w:val="1CF7613B"/>
    <w:rsid w:val="1D052D5B"/>
    <w:rsid w:val="1D097B94"/>
    <w:rsid w:val="1D244F3A"/>
    <w:rsid w:val="1D2D3938"/>
    <w:rsid w:val="1D2D41C6"/>
    <w:rsid w:val="1D3D339A"/>
    <w:rsid w:val="1D43387C"/>
    <w:rsid w:val="1D437AC9"/>
    <w:rsid w:val="1D444728"/>
    <w:rsid w:val="1D5256EC"/>
    <w:rsid w:val="1D5438C5"/>
    <w:rsid w:val="1D547061"/>
    <w:rsid w:val="1D562FD5"/>
    <w:rsid w:val="1D5C1A72"/>
    <w:rsid w:val="1D5C34F8"/>
    <w:rsid w:val="1D5C4168"/>
    <w:rsid w:val="1D5F06DE"/>
    <w:rsid w:val="1D6923E1"/>
    <w:rsid w:val="1D6B07DE"/>
    <w:rsid w:val="1D706053"/>
    <w:rsid w:val="1D781C32"/>
    <w:rsid w:val="1D7D4988"/>
    <w:rsid w:val="1D7F6AC0"/>
    <w:rsid w:val="1D816BAA"/>
    <w:rsid w:val="1D83213E"/>
    <w:rsid w:val="1D837AE9"/>
    <w:rsid w:val="1D85546D"/>
    <w:rsid w:val="1D88341D"/>
    <w:rsid w:val="1D8D2573"/>
    <w:rsid w:val="1D8F1387"/>
    <w:rsid w:val="1D927B8A"/>
    <w:rsid w:val="1D943902"/>
    <w:rsid w:val="1DA70166"/>
    <w:rsid w:val="1DAA4ED3"/>
    <w:rsid w:val="1DAA504A"/>
    <w:rsid w:val="1DB12C79"/>
    <w:rsid w:val="1DBE6CC9"/>
    <w:rsid w:val="1DBF6B45"/>
    <w:rsid w:val="1DC43CB7"/>
    <w:rsid w:val="1DC84414"/>
    <w:rsid w:val="1DC85089"/>
    <w:rsid w:val="1DCD0081"/>
    <w:rsid w:val="1DD106B2"/>
    <w:rsid w:val="1DD71FE5"/>
    <w:rsid w:val="1DEC5A1F"/>
    <w:rsid w:val="1DF026DE"/>
    <w:rsid w:val="1DF361E9"/>
    <w:rsid w:val="1DF54AFB"/>
    <w:rsid w:val="1DF63C75"/>
    <w:rsid w:val="1DFC5003"/>
    <w:rsid w:val="1DFF7BBC"/>
    <w:rsid w:val="1E0C16EA"/>
    <w:rsid w:val="1E0D0FBE"/>
    <w:rsid w:val="1E0D2A91"/>
    <w:rsid w:val="1E164317"/>
    <w:rsid w:val="1E2233C2"/>
    <w:rsid w:val="1E2702D2"/>
    <w:rsid w:val="1E292CD0"/>
    <w:rsid w:val="1E2B5646"/>
    <w:rsid w:val="1E2E35E4"/>
    <w:rsid w:val="1E37517A"/>
    <w:rsid w:val="1E392C2F"/>
    <w:rsid w:val="1E3B2AAD"/>
    <w:rsid w:val="1E3C65ED"/>
    <w:rsid w:val="1E4569AA"/>
    <w:rsid w:val="1E4C55D1"/>
    <w:rsid w:val="1E566AC6"/>
    <w:rsid w:val="1E5B033F"/>
    <w:rsid w:val="1E5F2DC5"/>
    <w:rsid w:val="1E631E3C"/>
    <w:rsid w:val="1E6432D4"/>
    <w:rsid w:val="1E6828C2"/>
    <w:rsid w:val="1E696B3C"/>
    <w:rsid w:val="1E786D7F"/>
    <w:rsid w:val="1E787929"/>
    <w:rsid w:val="1E7D73E8"/>
    <w:rsid w:val="1E8375D4"/>
    <w:rsid w:val="1E850B72"/>
    <w:rsid w:val="1E8700CD"/>
    <w:rsid w:val="1E8B5B98"/>
    <w:rsid w:val="1E990AA4"/>
    <w:rsid w:val="1E9A5E97"/>
    <w:rsid w:val="1E9C4C14"/>
    <w:rsid w:val="1EA03A8E"/>
    <w:rsid w:val="1EA57449"/>
    <w:rsid w:val="1EA96D74"/>
    <w:rsid w:val="1EAC1317"/>
    <w:rsid w:val="1EAC1D68"/>
    <w:rsid w:val="1EB81601"/>
    <w:rsid w:val="1EBB0BCC"/>
    <w:rsid w:val="1EBD3B62"/>
    <w:rsid w:val="1EBD56D7"/>
    <w:rsid w:val="1EC5240C"/>
    <w:rsid w:val="1EC57AEB"/>
    <w:rsid w:val="1ECE5572"/>
    <w:rsid w:val="1ED27DFE"/>
    <w:rsid w:val="1ED63AA6"/>
    <w:rsid w:val="1EDD692F"/>
    <w:rsid w:val="1EEB7551"/>
    <w:rsid w:val="1EEE0DF0"/>
    <w:rsid w:val="1EF36406"/>
    <w:rsid w:val="1EF56847"/>
    <w:rsid w:val="1EF67CA4"/>
    <w:rsid w:val="1F0A08B1"/>
    <w:rsid w:val="1F0C571A"/>
    <w:rsid w:val="1F1428EC"/>
    <w:rsid w:val="1F1A7E37"/>
    <w:rsid w:val="1F1C595D"/>
    <w:rsid w:val="1F1D250F"/>
    <w:rsid w:val="1F210284"/>
    <w:rsid w:val="1F294750"/>
    <w:rsid w:val="1F363B45"/>
    <w:rsid w:val="1F363F96"/>
    <w:rsid w:val="1F3812BC"/>
    <w:rsid w:val="1F384156"/>
    <w:rsid w:val="1F4C5B16"/>
    <w:rsid w:val="1F502EE4"/>
    <w:rsid w:val="1F56341D"/>
    <w:rsid w:val="1F594FA2"/>
    <w:rsid w:val="1F603D1D"/>
    <w:rsid w:val="1F6308E3"/>
    <w:rsid w:val="1F676F71"/>
    <w:rsid w:val="1F69223B"/>
    <w:rsid w:val="1F6A756F"/>
    <w:rsid w:val="1F6C1B40"/>
    <w:rsid w:val="1F6F0182"/>
    <w:rsid w:val="1F7367FD"/>
    <w:rsid w:val="1F7513D1"/>
    <w:rsid w:val="1F75506D"/>
    <w:rsid w:val="1F784B5D"/>
    <w:rsid w:val="1F7A08D5"/>
    <w:rsid w:val="1F7D3F22"/>
    <w:rsid w:val="1F8B44AB"/>
    <w:rsid w:val="1F941997"/>
    <w:rsid w:val="1FA804D5"/>
    <w:rsid w:val="1FAF63A2"/>
    <w:rsid w:val="1FB5251E"/>
    <w:rsid w:val="1FBF1370"/>
    <w:rsid w:val="1FC233C1"/>
    <w:rsid w:val="1FC47BF2"/>
    <w:rsid w:val="1FC823FF"/>
    <w:rsid w:val="1FCA1D52"/>
    <w:rsid w:val="1FCA1DF9"/>
    <w:rsid w:val="1FCD2189"/>
    <w:rsid w:val="1FD708FB"/>
    <w:rsid w:val="1FDC50EC"/>
    <w:rsid w:val="1FE60AE5"/>
    <w:rsid w:val="1FEF3071"/>
    <w:rsid w:val="1FF02946"/>
    <w:rsid w:val="1FF06A9A"/>
    <w:rsid w:val="1FF129C4"/>
    <w:rsid w:val="1FF9115E"/>
    <w:rsid w:val="1FFA5934"/>
    <w:rsid w:val="200C7447"/>
    <w:rsid w:val="2011417D"/>
    <w:rsid w:val="20144886"/>
    <w:rsid w:val="20197209"/>
    <w:rsid w:val="201B3139"/>
    <w:rsid w:val="20211528"/>
    <w:rsid w:val="20216FA3"/>
    <w:rsid w:val="2026218A"/>
    <w:rsid w:val="202B0FAC"/>
    <w:rsid w:val="202C459A"/>
    <w:rsid w:val="202D1AA3"/>
    <w:rsid w:val="20337402"/>
    <w:rsid w:val="20527A6F"/>
    <w:rsid w:val="205B7A0C"/>
    <w:rsid w:val="20615513"/>
    <w:rsid w:val="20665FED"/>
    <w:rsid w:val="20670E5A"/>
    <w:rsid w:val="206A4864"/>
    <w:rsid w:val="206E1E82"/>
    <w:rsid w:val="206E5218"/>
    <w:rsid w:val="20717F2A"/>
    <w:rsid w:val="2076564F"/>
    <w:rsid w:val="207756F2"/>
    <w:rsid w:val="207F2647"/>
    <w:rsid w:val="2083294F"/>
    <w:rsid w:val="208C3AFA"/>
    <w:rsid w:val="2099559D"/>
    <w:rsid w:val="20A3729C"/>
    <w:rsid w:val="20A41B00"/>
    <w:rsid w:val="20B833AE"/>
    <w:rsid w:val="20B9542D"/>
    <w:rsid w:val="20CA763A"/>
    <w:rsid w:val="20CB2D0F"/>
    <w:rsid w:val="20D37BCB"/>
    <w:rsid w:val="20D971F6"/>
    <w:rsid w:val="20DD625A"/>
    <w:rsid w:val="20E55F9D"/>
    <w:rsid w:val="20E9081F"/>
    <w:rsid w:val="20EC65CF"/>
    <w:rsid w:val="20EE689C"/>
    <w:rsid w:val="20F36B91"/>
    <w:rsid w:val="20F8458A"/>
    <w:rsid w:val="20F86B9D"/>
    <w:rsid w:val="20FC32FF"/>
    <w:rsid w:val="21056635"/>
    <w:rsid w:val="21072DD4"/>
    <w:rsid w:val="210D6698"/>
    <w:rsid w:val="21130FE1"/>
    <w:rsid w:val="211543B6"/>
    <w:rsid w:val="21161D11"/>
    <w:rsid w:val="21195AE5"/>
    <w:rsid w:val="211B1C44"/>
    <w:rsid w:val="211D3C0E"/>
    <w:rsid w:val="2120725A"/>
    <w:rsid w:val="213459D1"/>
    <w:rsid w:val="21386AF8"/>
    <w:rsid w:val="213945A3"/>
    <w:rsid w:val="213F5933"/>
    <w:rsid w:val="21424324"/>
    <w:rsid w:val="214448AF"/>
    <w:rsid w:val="2147309F"/>
    <w:rsid w:val="214B46A2"/>
    <w:rsid w:val="21552463"/>
    <w:rsid w:val="21552521"/>
    <w:rsid w:val="2160248D"/>
    <w:rsid w:val="217B7AB2"/>
    <w:rsid w:val="21872936"/>
    <w:rsid w:val="218804AA"/>
    <w:rsid w:val="218A3F2C"/>
    <w:rsid w:val="218A67F4"/>
    <w:rsid w:val="218B4077"/>
    <w:rsid w:val="21904F33"/>
    <w:rsid w:val="219B00AE"/>
    <w:rsid w:val="219C60BB"/>
    <w:rsid w:val="219E73FE"/>
    <w:rsid w:val="21A4796A"/>
    <w:rsid w:val="21A51645"/>
    <w:rsid w:val="21A86C8E"/>
    <w:rsid w:val="21A86F3D"/>
    <w:rsid w:val="21AC2A1D"/>
    <w:rsid w:val="21B3459D"/>
    <w:rsid w:val="21B65120"/>
    <w:rsid w:val="21BE5372"/>
    <w:rsid w:val="21C10A11"/>
    <w:rsid w:val="21C10CCE"/>
    <w:rsid w:val="21C81DCC"/>
    <w:rsid w:val="21D04707"/>
    <w:rsid w:val="21D37C75"/>
    <w:rsid w:val="21D51250"/>
    <w:rsid w:val="21D70F9F"/>
    <w:rsid w:val="21E57DFE"/>
    <w:rsid w:val="21F04E7F"/>
    <w:rsid w:val="21FD6F30"/>
    <w:rsid w:val="21FE40EE"/>
    <w:rsid w:val="21FE57EE"/>
    <w:rsid w:val="21FE7A7F"/>
    <w:rsid w:val="22017BF5"/>
    <w:rsid w:val="22032E04"/>
    <w:rsid w:val="22090025"/>
    <w:rsid w:val="22097B8B"/>
    <w:rsid w:val="220A45EB"/>
    <w:rsid w:val="22125788"/>
    <w:rsid w:val="2212752E"/>
    <w:rsid w:val="221746F7"/>
    <w:rsid w:val="221C2118"/>
    <w:rsid w:val="22350062"/>
    <w:rsid w:val="22381287"/>
    <w:rsid w:val="223876B6"/>
    <w:rsid w:val="22397D11"/>
    <w:rsid w:val="223B259E"/>
    <w:rsid w:val="224409DF"/>
    <w:rsid w:val="22463887"/>
    <w:rsid w:val="224A29C3"/>
    <w:rsid w:val="22543FBF"/>
    <w:rsid w:val="225673D8"/>
    <w:rsid w:val="225F24F0"/>
    <w:rsid w:val="22625902"/>
    <w:rsid w:val="22633364"/>
    <w:rsid w:val="2265761B"/>
    <w:rsid w:val="226626FD"/>
    <w:rsid w:val="22723AE6"/>
    <w:rsid w:val="22761564"/>
    <w:rsid w:val="227930C6"/>
    <w:rsid w:val="22853819"/>
    <w:rsid w:val="228753FB"/>
    <w:rsid w:val="22877C00"/>
    <w:rsid w:val="228D26CE"/>
    <w:rsid w:val="22904FAB"/>
    <w:rsid w:val="22965A26"/>
    <w:rsid w:val="229879F0"/>
    <w:rsid w:val="22A0253D"/>
    <w:rsid w:val="22A3177F"/>
    <w:rsid w:val="22A7426A"/>
    <w:rsid w:val="22AA0C05"/>
    <w:rsid w:val="22AD2B25"/>
    <w:rsid w:val="22B96607"/>
    <w:rsid w:val="22BD6633"/>
    <w:rsid w:val="22C108FA"/>
    <w:rsid w:val="22C67C77"/>
    <w:rsid w:val="22C75BE0"/>
    <w:rsid w:val="22C83E47"/>
    <w:rsid w:val="22CD2EBE"/>
    <w:rsid w:val="22CD6F6E"/>
    <w:rsid w:val="22CF2CE6"/>
    <w:rsid w:val="22DB168B"/>
    <w:rsid w:val="22DF561F"/>
    <w:rsid w:val="22E024B5"/>
    <w:rsid w:val="22E62E12"/>
    <w:rsid w:val="22E82C79"/>
    <w:rsid w:val="22F16966"/>
    <w:rsid w:val="23047703"/>
    <w:rsid w:val="23065154"/>
    <w:rsid w:val="230751A9"/>
    <w:rsid w:val="230E693F"/>
    <w:rsid w:val="23264D24"/>
    <w:rsid w:val="23274A3D"/>
    <w:rsid w:val="232866C1"/>
    <w:rsid w:val="232C117D"/>
    <w:rsid w:val="232E2B26"/>
    <w:rsid w:val="232F635A"/>
    <w:rsid w:val="23344719"/>
    <w:rsid w:val="233C25D4"/>
    <w:rsid w:val="233D5EA2"/>
    <w:rsid w:val="235C0A1E"/>
    <w:rsid w:val="235C54BC"/>
    <w:rsid w:val="236F7F4F"/>
    <w:rsid w:val="23713D9D"/>
    <w:rsid w:val="23763EEC"/>
    <w:rsid w:val="237815D0"/>
    <w:rsid w:val="23831505"/>
    <w:rsid w:val="23852BBE"/>
    <w:rsid w:val="23864FBF"/>
    <w:rsid w:val="23867849"/>
    <w:rsid w:val="239161EE"/>
    <w:rsid w:val="23953F30"/>
    <w:rsid w:val="239F10B0"/>
    <w:rsid w:val="23A203FB"/>
    <w:rsid w:val="23A710EC"/>
    <w:rsid w:val="23A8707F"/>
    <w:rsid w:val="23A91789"/>
    <w:rsid w:val="23AD26CE"/>
    <w:rsid w:val="23B674E3"/>
    <w:rsid w:val="23C7552E"/>
    <w:rsid w:val="23CD0728"/>
    <w:rsid w:val="23CE155A"/>
    <w:rsid w:val="23D55CA9"/>
    <w:rsid w:val="23DF01D4"/>
    <w:rsid w:val="23E80503"/>
    <w:rsid w:val="23E90133"/>
    <w:rsid w:val="23EE36A8"/>
    <w:rsid w:val="23EF72AD"/>
    <w:rsid w:val="23FA0FD5"/>
    <w:rsid w:val="23FC10E8"/>
    <w:rsid w:val="23FE7D27"/>
    <w:rsid w:val="240115C5"/>
    <w:rsid w:val="240822FC"/>
    <w:rsid w:val="240A19EC"/>
    <w:rsid w:val="24125BD2"/>
    <w:rsid w:val="241430A6"/>
    <w:rsid w:val="241A61C9"/>
    <w:rsid w:val="241C2C15"/>
    <w:rsid w:val="242274F2"/>
    <w:rsid w:val="2424063E"/>
    <w:rsid w:val="24273DFC"/>
    <w:rsid w:val="24283152"/>
    <w:rsid w:val="242A28CA"/>
    <w:rsid w:val="242B4894"/>
    <w:rsid w:val="242C1EC8"/>
    <w:rsid w:val="24356317"/>
    <w:rsid w:val="24370B26"/>
    <w:rsid w:val="2443096F"/>
    <w:rsid w:val="244A6AC8"/>
    <w:rsid w:val="24543325"/>
    <w:rsid w:val="24550D19"/>
    <w:rsid w:val="245E07C6"/>
    <w:rsid w:val="24614BBC"/>
    <w:rsid w:val="2463363B"/>
    <w:rsid w:val="24642B89"/>
    <w:rsid w:val="2465152D"/>
    <w:rsid w:val="24651B54"/>
    <w:rsid w:val="2467145E"/>
    <w:rsid w:val="246913B2"/>
    <w:rsid w:val="246A0F18"/>
    <w:rsid w:val="246B4C91"/>
    <w:rsid w:val="247A404C"/>
    <w:rsid w:val="24820020"/>
    <w:rsid w:val="248A2E84"/>
    <w:rsid w:val="24A0493A"/>
    <w:rsid w:val="24A33104"/>
    <w:rsid w:val="24A81886"/>
    <w:rsid w:val="24BB5C18"/>
    <w:rsid w:val="24CD76F9"/>
    <w:rsid w:val="24D6035C"/>
    <w:rsid w:val="24DC1141"/>
    <w:rsid w:val="24E8008F"/>
    <w:rsid w:val="24E871BA"/>
    <w:rsid w:val="24ED70E8"/>
    <w:rsid w:val="24F353CE"/>
    <w:rsid w:val="25070E5D"/>
    <w:rsid w:val="251813FD"/>
    <w:rsid w:val="25224980"/>
    <w:rsid w:val="2525032B"/>
    <w:rsid w:val="25276E09"/>
    <w:rsid w:val="2531605F"/>
    <w:rsid w:val="25383907"/>
    <w:rsid w:val="25394791"/>
    <w:rsid w:val="2540708F"/>
    <w:rsid w:val="25476E87"/>
    <w:rsid w:val="25495178"/>
    <w:rsid w:val="254A2B38"/>
    <w:rsid w:val="25552BD0"/>
    <w:rsid w:val="2558779F"/>
    <w:rsid w:val="25587F81"/>
    <w:rsid w:val="255A07FF"/>
    <w:rsid w:val="255F678A"/>
    <w:rsid w:val="256B3D40"/>
    <w:rsid w:val="2576355F"/>
    <w:rsid w:val="258129BE"/>
    <w:rsid w:val="258401FB"/>
    <w:rsid w:val="25903244"/>
    <w:rsid w:val="25980E5E"/>
    <w:rsid w:val="259D07C1"/>
    <w:rsid w:val="259F2E44"/>
    <w:rsid w:val="259F6F14"/>
    <w:rsid w:val="25A16061"/>
    <w:rsid w:val="25A62FB3"/>
    <w:rsid w:val="25BD151C"/>
    <w:rsid w:val="25C428AA"/>
    <w:rsid w:val="25C44658"/>
    <w:rsid w:val="25D30B29"/>
    <w:rsid w:val="25D94E25"/>
    <w:rsid w:val="25DA4F02"/>
    <w:rsid w:val="25E7483B"/>
    <w:rsid w:val="25EA1729"/>
    <w:rsid w:val="25EB1E8D"/>
    <w:rsid w:val="25F36B9D"/>
    <w:rsid w:val="25F767DC"/>
    <w:rsid w:val="25F807A6"/>
    <w:rsid w:val="25FB762A"/>
    <w:rsid w:val="26000562"/>
    <w:rsid w:val="26040EF9"/>
    <w:rsid w:val="260D6019"/>
    <w:rsid w:val="26106FBE"/>
    <w:rsid w:val="2615352F"/>
    <w:rsid w:val="261643EA"/>
    <w:rsid w:val="261F1CE0"/>
    <w:rsid w:val="26341219"/>
    <w:rsid w:val="26376210"/>
    <w:rsid w:val="263B7025"/>
    <w:rsid w:val="26413EFB"/>
    <w:rsid w:val="26424B98"/>
    <w:rsid w:val="26457397"/>
    <w:rsid w:val="264828B3"/>
    <w:rsid w:val="265754CC"/>
    <w:rsid w:val="266002E1"/>
    <w:rsid w:val="26602042"/>
    <w:rsid w:val="266100F9"/>
    <w:rsid w:val="26610147"/>
    <w:rsid w:val="26677889"/>
    <w:rsid w:val="26850176"/>
    <w:rsid w:val="26881B2A"/>
    <w:rsid w:val="2688788C"/>
    <w:rsid w:val="268C786C"/>
    <w:rsid w:val="26A02529"/>
    <w:rsid w:val="26A533C9"/>
    <w:rsid w:val="26A8509F"/>
    <w:rsid w:val="26AA2DAB"/>
    <w:rsid w:val="26B312DF"/>
    <w:rsid w:val="26B4291F"/>
    <w:rsid w:val="26B47F5C"/>
    <w:rsid w:val="26B80CB8"/>
    <w:rsid w:val="26B96AF1"/>
    <w:rsid w:val="26C43D8B"/>
    <w:rsid w:val="26C70A90"/>
    <w:rsid w:val="26CE735F"/>
    <w:rsid w:val="26D0702D"/>
    <w:rsid w:val="26D611A8"/>
    <w:rsid w:val="26D62895"/>
    <w:rsid w:val="26D72730"/>
    <w:rsid w:val="26DE2E3D"/>
    <w:rsid w:val="26DE5BEE"/>
    <w:rsid w:val="26E43491"/>
    <w:rsid w:val="26F57CEA"/>
    <w:rsid w:val="26FF4165"/>
    <w:rsid w:val="2701630B"/>
    <w:rsid w:val="27084686"/>
    <w:rsid w:val="27145634"/>
    <w:rsid w:val="27153660"/>
    <w:rsid w:val="271B4322"/>
    <w:rsid w:val="271B6F5F"/>
    <w:rsid w:val="27231852"/>
    <w:rsid w:val="272C0E07"/>
    <w:rsid w:val="272F31AF"/>
    <w:rsid w:val="27347CC7"/>
    <w:rsid w:val="273870AC"/>
    <w:rsid w:val="27387EB8"/>
    <w:rsid w:val="27395AF3"/>
    <w:rsid w:val="27451347"/>
    <w:rsid w:val="27471C9B"/>
    <w:rsid w:val="27515243"/>
    <w:rsid w:val="27516E3C"/>
    <w:rsid w:val="27632778"/>
    <w:rsid w:val="276500BD"/>
    <w:rsid w:val="276C4FA7"/>
    <w:rsid w:val="276D7E0D"/>
    <w:rsid w:val="2771696A"/>
    <w:rsid w:val="277204A7"/>
    <w:rsid w:val="277D093C"/>
    <w:rsid w:val="277D14F1"/>
    <w:rsid w:val="278256E9"/>
    <w:rsid w:val="27894144"/>
    <w:rsid w:val="27990E9D"/>
    <w:rsid w:val="279C2A74"/>
    <w:rsid w:val="279D6A0F"/>
    <w:rsid w:val="27A6495D"/>
    <w:rsid w:val="27AA25C0"/>
    <w:rsid w:val="27AB30EE"/>
    <w:rsid w:val="27AB47D3"/>
    <w:rsid w:val="27B747C8"/>
    <w:rsid w:val="27B95795"/>
    <w:rsid w:val="27C052F3"/>
    <w:rsid w:val="27C15443"/>
    <w:rsid w:val="27C36AB9"/>
    <w:rsid w:val="27C47A71"/>
    <w:rsid w:val="27CF6D5A"/>
    <w:rsid w:val="27D329EF"/>
    <w:rsid w:val="27D655BB"/>
    <w:rsid w:val="27E15995"/>
    <w:rsid w:val="27E2170E"/>
    <w:rsid w:val="27F356C9"/>
    <w:rsid w:val="27F8683B"/>
    <w:rsid w:val="27FA024D"/>
    <w:rsid w:val="27FD4083"/>
    <w:rsid w:val="28070FFB"/>
    <w:rsid w:val="28187256"/>
    <w:rsid w:val="281A7247"/>
    <w:rsid w:val="281C1650"/>
    <w:rsid w:val="28233AD4"/>
    <w:rsid w:val="2835183D"/>
    <w:rsid w:val="283E080E"/>
    <w:rsid w:val="284149A4"/>
    <w:rsid w:val="284303FE"/>
    <w:rsid w:val="284321AC"/>
    <w:rsid w:val="284768F9"/>
    <w:rsid w:val="284C552A"/>
    <w:rsid w:val="284D302B"/>
    <w:rsid w:val="284E1BE5"/>
    <w:rsid w:val="284F34BA"/>
    <w:rsid w:val="286F2FA1"/>
    <w:rsid w:val="28775E23"/>
    <w:rsid w:val="28776F31"/>
    <w:rsid w:val="28783A4A"/>
    <w:rsid w:val="28793BBE"/>
    <w:rsid w:val="287F230A"/>
    <w:rsid w:val="288A4228"/>
    <w:rsid w:val="288D617C"/>
    <w:rsid w:val="28911077"/>
    <w:rsid w:val="289805F0"/>
    <w:rsid w:val="289B0CBC"/>
    <w:rsid w:val="289E73E3"/>
    <w:rsid w:val="28A15492"/>
    <w:rsid w:val="28A33EF2"/>
    <w:rsid w:val="28A81352"/>
    <w:rsid w:val="28A93DA8"/>
    <w:rsid w:val="28B51F99"/>
    <w:rsid w:val="28BA09B5"/>
    <w:rsid w:val="28BA24C9"/>
    <w:rsid w:val="28BE68FE"/>
    <w:rsid w:val="28CB39F1"/>
    <w:rsid w:val="28D56B7C"/>
    <w:rsid w:val="28DB6AD4"/>
    <w:rsid w:val="28DE757E"/>
    <w:rsid w:val="28E514B5"/>
    <w:rsid w:val="28EA0255"/>
    <w:rsid w:val="28EC45F2"/>
    <w:rsid w:val="28EE21BB"/>
    <w:rsid w:val="28F32B26"/>
    <w:rsid w:val="29057462"/>
    <w:rsid w:val="29066C92"/>
    <w:rsid w:val="29071393"/>
    <w:rsid w:val="29075D7A"/>
    <w:rsid w:val="290A3270"/>
    <w:rsid w:val="290C0A34"/>
    <w:rsid w:val="290C2F3D"/>
    <w:rsid w:val="2914399B"/>
    <w:rsid w:val="291B46D5"/>
    <w:rsid w:val="29202D73"/>
    <w:rsid w:val="292567FF"/>
    <w:rsid w:val="29290258"/>
    <w:rsid w:val="293461B3"/>
    <w:rsid w:val="29363C1A"/>
    <w:rsid w:val="293C0426"/>
    <w:rsid w:val="29431FF9"/>
    <w:rsid w:val="29464758"/>
    <w:rsid w:val="29530F83"/>
    <w:rsid w:val="29546304"/>
    <w:rsid w:val="2959149F"/>
    <w:rsid w:val="295A5710"/>
    <w:rsid w:val="295B5124"/>
    <w:rsid w:val="29604F09"/>
    <w:rsid w:val="29622B06"/>
    <w:rsid w:val="29657049"/>
    <w:rsid w:val="296676A0"/>
    <w:rsid w:val="296A4570"/>
    <w:rsid w:val="29703CD3"/>
    <w:rsid w:val="29735B78"/>
    <w:rsid w:val="297816E4"/>
    <w:rsid w:val="297C2F40"/>
    <w:rsid w:val="297E31AB"/>
    <w:rsid w:val="29836FC9"/>
    <w:rsid w:val="298505A2"/>
    <w:rsid w:val="298F193A"/>
    <w:rsid w:val="299D58EC"/>
    <w:rsid w:val="29A246E6"/>
    <w:rsid w:val="29AE1DE3"/>
    <w:rsid w:val="29B36933"/>
    <w:rsid w:val="29B460BE"/>
    <w:rsid w:val="29B62F69"/>
    <w:rsid w:val="29B64C00"/>
    <w:rsid w:val="29B81DBD"/>
    <w:rsid w:val="29BA46F0"/>
    <w:rsid w:val="29BA796A"/>
    <w:rsid w:val="29C55BD3"/>
    <w:rsid w:val="29CA1C55"/>
    <w:rsid w:val="29D05E3D"/>
    <w:rsid w:val="29D46E34"/>
    <w:rsid w:val="29D62CC2"/>
    <w:rsid w:val="29D84B76"/>
    <w:rsid w:val="29DA4F74"/>
    <w:rsid w:val="29E53A88"/>
    <w:rsid w:val="29E87670"/>
    <w:rsid w:val="29EA4D09"/>
    <w:rsid w:val="29EA6B1A"/>
    <w:rsid w:val="29F43DE7"/>
    <w:rsid w:val="29FA76CB"/>
    <w:rsid w:val="29FD340C"/>
    <w:rsid w:val="29FF0355"/>
    <w:rsid w:val="2A0210DB"/>
    <w:rsid w:val="2A0D269E"/>
    <w:rsid w:val="2A0F7976"/>
    <w:rsid w:val="2A11525B"/>
    <w:rsid w:val="2A1D07DB"/>
    <w:rsid w:val="2A1D4E7B"/>
    <w:rsid w:val="2A284912"/>
    <w:rsid w:val="2A2B008D"/>
    <w:rsid w:val="2A2C3499"/>
    <w:rsid w:val="2A2D7E79"/>
    <w:rsid w:val="2A332420"/>
    <w:rsid w:val="2A3864A5"/>
    <w:rsid w:val="2A3C4409"/>
    <w:rsid w:val="2A420242"/>
    <w:rsid w:val="2A4370BF"/>
    <w:rsid w:val="2A472D77"/>
    <w:rsid w:val="2A490733"/>
    <w:rsid w:val="2A4B04CC"/>
    <w:rsid w:val="2A4F1AFE"/>
    <w:rsid w:val="2A5D6CBF"/>
    <w:rsid w:val="2A652C58"/>
    <w:rsid w:val="2A6D08ED"/>
    <w:rsid w:val="2A722E35"/>
    <w:rsid w:val="2A726FEF"/>
    <w:rsid w:val="2A787807"/>
    <w:rsid w:val="2A7E5018"/>
    <w:rsid w:val="2A85734D"/>
    <w:rsid w:val="2A857590"/>
    <w:rsid w:val="2A8C6939"/>
    <w:rsid w:val="2A8D4267"/>
    <w:rsid w:val="2AA40A23"/>
    <w:rsid w:val="2AA4520C"/>
    <w:rsid w:val="2AA607D0"/>
    <w:rsid w:val="2AAE265D"/>
    <w:rsid w:val="2AAF66C8"/>
    <w:rsid w:val="2AB2288B"/>
    <w:rsid w:val="2AB23619"/>
    <w:rsid w:val="2AB27175"/>
    <w:rsid w:val="2AB96756"/>
    <w:rsid w:val="2ABA724C"/>
    <w:rsid w:val="2AC661C9"/>
    <w:rsid w:val="2ACC7FF6"/>
    <w:rsid w:val="2ACD0C01"/>
    <w:rsid w:val="2ACF0930"/>
    <w:rsid w:val="2ACF3ADF"/>
    <w:rsid w:val="2AD04062"/>
    <w:rsid w:val="2ADA66CC"/>
    <w:rsid w:val="2ADB3E12"/>
    <w:rsid w:val="2AE61515"/>
    <w:rsid w:val="2AE65071"/>
    <w:rsid w:val="2AE77ECC"/>
    <w:rsid w:val="2AE940EC"/>
    <w:rsid w:val="2AF023A7"/>
    <w:rsid w:val="2AF330E5"/>
    <w:rsid w:val="2AF37AAC"/>
    <w:rsid w:val="2AF82C3F"/>
    <w:rsid w:val="2AFA4548"/>
    <w:rsid w:val="2AFB2449"/>
    <w:rsid w:val="2B002D12"/>
    <w:rsid w:val="2B035C23"/>
    <w:rsid w:val="2B06179F"/>
    <w:rsid w:val="2B120295"/>
    <w:rsid w:val="2B1913EE"/>
    <w:rsid w:val="2B1C25CC"/>
    <w:rsid w:val="2B230073"/>
    <w:rsid w:val="2B2333E5"/>
    <w:rsid w:val="2B275DB5"/>
    <w:rsid w:val="2B2B79AC"/>
    <w:rsid w:val="2B2E45BB"/>
    <w:rsid w:val="2B3113B8"/>
    <w:rsid w:val="2B333CF1"/>
    <w:rsid w:val="2B342834"/>
    <w:rsid w:val="2B3835D3"/>
    <w:rsid w:val="2B3A4939"/>
    <w:rsid w:val="2B3C1A56"/>
    <w:rsid w:val="2B422E16"/>
    <w:rsid w:val="2B4960E8"/>
    <w:rsid w:val="2B5B6F2D"/>
    <w:rsid w:val="2B606993"/>
    <w:rsid w:val="2B620B9B"/>
    <w:rsid w:val="2B63731C"/>
    <w:rsid w:val="2B65243A"/>
    <w:rsid w:val="2B6C34BF"/>
    <w:rsid w:val="2B741D7E"/>
    <w:rsid w:val="2B807273"/>
    <w:rsid w:val="2B8072A0"/>
    <w:rsid w:val="2B8C3E6A"/>
    <w:rsid w:val="2B8C79C6"/>
    <w:rsid w:val="2B960845"/>
    <w:rsid w:val="2B9A56F2"/>
    <w:rsid w:val="2B9A6426"/>
    <w:rsid w:val="2B9D7F83"/>
    <w:rsid w:val="2B9F0E0A"/>
    <w:rsid w:val="2B9F6EEE"/>
    <w:rsid w:val="2BA32F62"/>
    <w:rsid w:val="2BAA0794"/>
    <w:rsid w:val="2BB117F1"/>
    <w:rsid w:val="2BB266C3"/>
    <w:rsid w:val="2BB47798"/>
    <w:rsid w:val="2BB60EE7"/>
    <w:rsid w:val="2BBD2276"/>
    <w:rsid w:val="2BBF7699"/>
    <w:rsid w:val="2BC71008"/>
    <w:rsid w:val="2BC82D79"/>
    <w:rsid w:val="2BCF1FA9"/>
    <w:rsid w:val="2BD018E7"/>
    <w:rsid w:val="2BDB636C"/>
    <w:rsid w:val="2BDF3682"/>
    <w:rsid w:val="2BDF40C3"/>
    <w:rsid w:val="2BE56C9A"/>
    <w:rsid w:val="2BE5745F"/>
    <w:rsid w:val="2BF47F7E"/>
    <w:rsid w:val="2BF832AE"/>
    <w:rsid w:val="2BFA7026"/>
    <w:rsid w:val="2BFE2FA0"/>
    <w:rsid w:val="2C031481"/>
    <w:rsid w:val="2C032787"/>
    <w:rsid w:val="2C04512B"/>
    <w:rsid w:val="2C061865"/>
    <w:rsid w:val="2C06487A"/>
    <w:rsid w:val="2C0F54AC"/>
    <w:rsid w:val="2C117FA9"/>
    <w:rsid w:val="2C1F604A"/>
    <w:rsid w:val="2C270AD4"/>
    <w:rsid w:val="2C275941"/>
    <w:rsid w:val="2C340047"/>
    <w:rsid w:val="2C620DE5"/>
    <w:rsid w:val="2C635791"/>
    <w:rsid w:val="2C694796"/>
    <w:rsid w:val="2C6A3498"/>
    <w:rsid w:val="2C6C77F8"/>
    <w:rsid w:val="2C730B86"/>
    <w:rsid w:val="2C743A1C"/>
    <w:rsid w:val="2C88466C"/>
    <w:rsid w:val="2C8903AA"/>
    <w:rsid w:val="2C9C0E59"/>
    <w:rsid w:val="2C9C56B7"/>
    <w:rsid w:val="2CAB6572"/>
    <w:rsid w:val="2CAE56E3"/>
    <w:rsid w:val="2CB208F0"/>
    <w:rsid w:val="2CB216AE"/>
    <w:rsid w:val="2CBC42DB"/>
    <w:rsid w:val="2CC15D95"/>
    <w:rsid w:val="2CC47634"/>
    <w:rsid w:val="2CC54140"/>
    <w:rsid w:val="2CCA4A1D"/>
    <w:rsid w:val="2CCD0296"/>
    <w:rsid w:val="2CCF0687"/>
    <w:rsid w:val="2CCF379C"/>
    <w:rsid w:val="2CD06BE4"/>
    <w:rsid w:val="2CD3748E"/>
    <w:rsid w:val="2CD51841"/>
    <w:rsid w:val="2CDC2BCF"/>
    <w:rsid w:val="2CDF503D"/>
    <w:rsid w:val="2CE35A71"/>
    <w:rsid w:val="2CE551BC"/>
    <w:rsid w:val="2CE576AE"/>
    <w:rsid w:val="2CE63849"/>
    <w:rsid w:val="2CE9358F"/>
    <w:rsid w:val="2CF33142"/>
    <w:rsid w:val="2CFE4320"/>
    <w:rsid w:val="2D0461CC"/>
    <w:rsid w:val="2D0905E4"/>
    <w:rsid w:val="2D0C4BDB"/>
    <w:rsid w:val="2D1227E2"/>
    <w:rsid w:val="2D146650"/>
    <w:rsid w:val="2D1537D9"/>
    <w:rsid w:val="2D172E24"/>
    <w:rsid w:val="2D21136E"/>
    <w:rsid w:val="2D270871"/>
    <w:rsid w:val="2D287914"/>
    <w:rsid w:val="2D34043B"/>
    <w:rsid w:val="2D3C541C"/>
    <w:rsid w:val="2D3E29DE"/>
    <w:rsid w:val="2D454740"/>
    <w:rsid w:val="2D4B3244"/>
    <w:rsid w:val="2D653442"/>
    <w:rsid w:val="2D656721"/>
    <w:rsid w:val="2D684463"/>
    <w:rsid w:val="2D6A39AA"/>
    <w:rsid w:val="2D6D23A7"/>
    <w:rsid w:val="2D7073F6"/>
    <w:rsid w:val="2D714B55"/>
    <w:rsid w:val="2D7165F9"/>
    <w:rsid w:val="2D7B4415"/>
    <w:rsid w:val="2D7C5830"/>
    <w:rsid w:val="2D811081"/>
    <w:rsid w:val="2D83304B"/>
    <w:rsid w:val="2D8363D0"/>
    <w:rsid w:val="2D853B5F"/>
    <w:rsid w:val="2D872113"/>
    <w:rsid w:val="2D9214E0"/>
    <w:rsid w:val="2D9324C6"/>
    <w:rsid w:val="2D983CF4"/>
    <w:rsid w:val="2D9B22AE"/>
    <w:rsid w:val="2DA71784"/>
    <w:rsid w:val="2DAF5BEE"/>
    <w:rsid w:val="2DB476A8"/>
    <w:rsid w:val="2DBB27E5"/>
    <w:rsid w:val="2DBC1FA7"/>
    <w:rsid w:val="2DBD47AF"/>
    <w:rsid w:val="2DC33091"/>
    <w:rsid w:val="2DC46639"/>
    <w:rsid w:val="2DC773DC"/>
    <w:rsid w:val="2DC81C32"/>
    <w:rsid w:val="2DCA102C"/>
    <w:rsid w:val="2DCB4B48"/>
    <w:rsid w:val="2DCF003E"/>
    <w:rsid w:val="2DD41AF8"/>
    <w:rsid w:val="2DD72284"/>
    <w:rsid w:val="2DDA0A7F"/>
    <w:rsid w:val="2DDC519A"/>
    <w:rsid w:val="2DE0793C"/>
    <w:rsid w:val="2DE1211E"/>
    <w:rsid w:val="2DEC299E"/>
    <w:rsid w:val="2DF17025"/>
    <w:rsid w:val="2DF67CC1"/>
    <w:rsid w:val="2DF87345"/>
    <w:rsid w:val="2DFF0318"/>
    <w:rsid w:val="2E043B7C"/>
    <w:rsid w:val="2E094608"/>
    <w:rsid w:val="2E0C4DEE"/>
    <w:rsid w:val="2E0D4FE9"/>
    <w:rsid w:val="2E132621"/>
    <w:rsid w:val="2E260860"/>
    <w:rsid w:val="2E2B46A1"/>
    <w:rsid w:val="2E341F8D"/>
    <w:rsid w:val="2E375D35"/>
    <w:rsid w:val="2E3A195C"/>
    <w:rsid w:val="2E5C3FC8"/>
    <w:rsid w:val="2E64587A"/>
    <w:rsid w:val="2E652751"/>
    <w:rsid w:val="2E652A3A"/>
    <w:rsid w:val="2E680471"/>
    <w:rsid w:val="2E68598C"/>
    <w:rsid w:val="2E6A28DC"/>
    <w:rsid w:val="2E6C11DA"/>
    <w:rsid w:val="2E6C6E1B"/>
    <w:rsid w:val="2E6E6C14"/>
    <w:rsid w:val="2E720C4D"/>
    <w:rsid w:val="2E79634E"/>
    <w:rsid w:val="2E813A2E"/>
    <w:rsid w:val="2E9848D4"/>
    <w:rsid w:val="2EA556B0"/>
    <w:rsid w:val="2EAC1E2F"/>
    <w:rsid w:val="2EAF2BF2"/>
    <w:rsid w:val="2EC257EF"/>
    <w:rsid w:val="2EC76F67"/>
    <w:rsid w:val="2ED022C0"/>
    <w:rsid w:val="2ED33266"/>
    <w:rsid w:val="2EDD52BA"/>
    <w:rsid w:val="2EDE3EC8"/>
    <w:rsid w:val="2EE32D5C"/>
    <w:rsid w:val="2EE41CAE"/>
    <w:rsid w:val="2EE80AE9"/>
    <w:rsid w:val="2EEC765D"/>
    <w:rsid w:val="2EED3D5B"/>
    <w:rsid w:val="2EF563B2"/>
    <w:rsid w:val="2EFD02B8"/>
    <w:rsid w:val="2EFE112F"/>
    <w:rsid w:val="2F012479"/>
    <w:rsid w:val="2F0A2D59"/>
    <w:rsid w:val="2F146650"/>
    <w:rsid w:val="2F153EE7"/>
    <w:rsid w:val="2F2919A1"/>
    <w:rsid w:val="2F37233F"/>
    <w:rsid w:val="2F4235A9"/>
    <w:rsid w:val="2F430B05"/>
    <w:rsid w:val="2F4862FA"/>
    <w:rsid w:val="2F4A02C4"/>
    <w:rsid w:val="2F4E06F2"/>
    <w:rsid w:val="2F506700"/>
    <w:rsid w:val="2F524994"/>
    <w:rsid w:val="2F54790A"/>
    <w:rsid w:val="2F56193F"/>
    <w:rsid w:val="2F5729E1"/>
    <w:rsid w:val="2F5D710C"/>
    <w:rsid w:val="2F662A91"/>
    <w:rsid w:val="2F6910C6"/>
    <w:rsid w:val="2F77098D"/>
    <w:rsid w:val="2F7C61F8"/>
    <w:rsid w:val="2F803CE6"/>
    <w:rsid w:val="2F8424A1"/>
    <w:rsid w:val="2F875074"/>
    <w:rsid w:val="2F880B02"/>
    <w:rsid w:val="2F8E7EAD"/>
    <w:rsid w:val="2F926E5C"/>
    <w:rsid w:val="2F9B25DB"/>
    <w:rsid w:val="2F9E110E"/>
    <w:rsid w:val="2FA12EAC"/>
    <w:rsid w:val="2FA44439"/>
    <w:rsid w:val="2FB12CDA"/>
    <w:rsid w:val="2FB532C7"/>
    <w:rsid w:val="2FBC0559"/>
    <w:rsid w:val="2FC26A77"/>
    <w:rsid w:val="2FC372C3"/>
    <w:rsid w:val="2FD63906"/>
    <w:rsid w:val="2FDB4900"/>
    <w:rsid w:val="2FE34275"/>
    <w:rsid w:val="2FEA73B1"/>
    <w:rsid w:val="2FF238BE"/>
    <w:rsid w:val="2FF44E33"/>
    <w:rsid w:val="2FF4615F"/>
    <w:rsid w:val="2FFB15BE"/>
    <w:rsid w:val="30000983"/>
    <w:rsid w:val="300141FA"/>
    <w:rsid w:val="30055E94"/>
    <w:rsid w:val="300B6429"/>
    <w:rsid w:val="301D7787"/>
    <w:rsid w:val="30222169"/>
    <w:rsid w:val="302A0555"/>
    <w:rsid w:val="302D4859"/>
    <w:rsid w:val="303465AA"/>
    <w:rsid w:val="30364256"/>
    <w:rsid w:val="30364326"/>
    <w:rsid w:val="303A7E12"/>
    <w:rsid w:val="303C3A3A"/>
    <w:rsid w:val="303D4122"/>
    <w:rsid w:val="305245C9"/>
    <w:rsid w:val="305428A9"/>
    <w:rsid w:val="305D05B0"/>
    <w:rsid w:val="30750259"/>
    <w:rsid w:val="307A684C"/>
    <w:rsid w:val="308C55BF"/>
    <w:rsid w:val="308C75AA"/>
    <w:rsid w:val="309537C1"/>
    <w:rsid w:val="30966B98"/>
    <w:rsid w:val="30AE441D"/>
    <w:rsid w:val="30C04197"/>
    <w:rsid w:val="30C13FFB"/>
    <w:rsid w:val="30CE282F"/>
    <w:rsid w:val="30D20571"/>
    <w:rsid w:val="30D836FC"/>
    <w:rsid w:val="30DA5678"/>
    <w:rsid w:val="30E22CDA"/>
    <w:rsid w:val="30E365D1"/>
    <w:rsid w:val="30E837E1"/>
    <w:rsid w:val="30EC43E6"/>
    <w:rsid w:val="30F83A9B"/>
    <w:rsid w:val="30FB552D"/>
    <w:rsid w:val="30FD66E6"/>
    <w:rsid w:val="310D6B4A"/>
    <w:rsid w:val="31130700"/>
    <w:rsid w:val="31145746"/>
    <w:rsid w:val="311513A5"/>
    <w:rsid w:val="31163BEF"/>
    <w:rsid w:val="311A5562"/>
    <w:rsid w:val="311C50E1"/>
    <w:rsid w:val="31210BB1"/>
    <w:rsid w:val="3126266B"/>
    <w:rsid w:val="31267C32"/>
    <w:rsid w:val="3130243C"/>
    <w:rsid w:val="3135093F"/>
    <w:rsid w:val="313703D4"/>
    <w:rsid w:val="31452F14"/>
    <w:rsid w:val="31634DEB"/>
    <w:rsid w:val="31644F41"/>
    <w:rsid w:val="316F5DC0"/>
    <w:rsid w:val="3172012D"/>
    <w:rsid w:val="3175519D"/>
    <w:rsid w:val="317B6964"/>
    <w:rsid w:val="317F57AD"/>
    <w:rsid w:val="3186310A"/>
    <w:rsid w:val="31863C5E"/>
    <w:rsid w:val="318C712B"/>
    <w:rsid w:val="3195334D"/>
    <w:rsid w:val="319D518F"/>
    <w:rsid w:val="31AC1890"/>
    <w:rsid w:val="31B15148"/>
    <w:rsid w:val="31BE0AF5"/>
    <w:rsid w:val="31C0661C"/>
    <w:rsid w:val="31C86E9F"/>
    <w:rsid w:val="31CA749A"/>
    <w:rsid w:val="31CD5A4A"/>
    <w:rsid w:val="31CF11DE"/>
    <w:rsid w:val="31DC33C7"/>
    <w:rsid w:val="31F75DB5"/>
    <w:rsid w:val="3200110E"/>
    <w:rsid w:val="32093ED2"/>
    <w:rsid w:val="320C0799"/>
    <w:rsid w:val="320F1351"/>
    <w:rsid w:val="321271DE"/>
    <w:rsid w:val="32186458"/>
    <w:rsid w:val="32193FCF"/>
    <w:rsid w:val="32203022"/>
    <w:rsid w:val="322D2920"/>
    <w:rsid w:val="323E682F"/>
    <w:rsid w:val="3244724D"/>
    <w:rsid w:val="32453CC1"/>
    <w:rsid w:val="3251196A"/>
    <w:rsid w:val="32584AA6"/>
    <w:rsid w:val="32587052"/>
    <w:rsid w:val="325A3397"/>
    <w:rsid w:val="325E7BE3"/>
    <w:rsid w:val="326052BC"/>
    <w:rsid w:val="3264344B"/>
    <w:rsid w:val="32650F71"/>
    <w:rsid w:val="326F7FD1"/>
    <w:rsid w:val="32747406"/>
    <w:rsid w:val="32760FC4"/>
    <w:rsid w:val="32783324"/>
    <w:rsid w:val="3284589B"/>
    <w:rsid w:val="32864EA7"/>
    <w:rsid w:val="32974439"/>
    <w:rsid w:val="3298544D"/>
    <w:rsid w:val="32A6644D"/>
    <w:rsid w:val="32A832FC"/>
    <w:rsid w:val="32AE572C"/>
    <w:rsid w:val="32B20B24"/>
    <w:rsid w:val="32BA2998"/>
    <w:rsid w:val="32BF0681"/>
    <w:rsid w:val="32C62554"/>
    <w:rsid w:val="32C67F0F"/>
    <w:rsid w:val="32CB1996"/>
    <w:rsid w:val="32D158B5"/>
    <w:rsid w:val="32D22AAA"/>
    <w:rsid w:val="32D87C1E"/>
    <w:rsid w:val="32E0684A"/>
    <w:rsid w:val="32E20A76"/>
    <w:rsid w:val="32E7407C"/>
    <w:rsid w:val="32EC538D"/>
    <w:rsid w:val="32F3136D"/>
    <w:rsid w:val="32F522F5"/>
    <w:rsid w:val="32F66DD2"/>
    <w:rsid w:val="33050007"/>
    <w:rsid w:val="3305579D"/>
    <w:rsid w:val="330B7D6A"/>
    <w:rsid w:val="330C7DF1"/>
    <w:rsid w:val="3313187A"/>
    <w:rsid w:val="3314235B"/>
    <w:rsid w:val="33161239"/>
    <w:rsid w:val="3317222F"/>
    <w:rsid w:val="33310F17"/>
    <w:rsid w:val="333746BC"/>
    <w:rsid w:val="3341378C"/>
    <w:rsid w:val="33490893"/>
    <w:rsid w:val="335631BA"/>
    <w:rsid w:val="335F6122"/>
    <w:rsid w:val="336E1B5E"/>
    <w:rsid w:val="33727DEA"/>
    <w:rsid w:val="3374276A"/>
    <w:rsid w:val="33791520"/>
    <w:rsid w:val="337A5DAA"/>
    <w:rsid w:val="33812E2F"/>
    <w:rsid w:val="338A1C77"/>
    <w:rsid w:val="33913D9A"/>
    <w:rsid w:val="33923FE8"/>
    <w:rsid w:val="33941B0E"/>
    <w:rsid w:val="339E473B"/>
    <w:rsid w:val="33A31D51"/>
    <w:rsid w:val="33A525A8"/>
    <w:rsid w:val="33A91C24"/>
    <w:rsid w:val="33AB50A9"/>
    <w:rsid w:val="33AF6809"/>
    <w:rsid w:val="33AF6948"/>
    <w:rsid w:val="33B71AF2"/>
    <w:rsid w:val="33BA52ED"/>
    <w:rsid w:val="33C87A09"/>
    <w:rsid w:val="33CA19D4"/>
    <w:rsid w:val="33CB2711"/>
    <w:rsid w:val="33D01B77"/>
    <w:rsid w:val="33E301DB"/>
    <w:rsid w:val="33E67A65"/>
    <w:rsid w:val="33EB2844"/>
    <w:rsid w:val="33EE4145"/>
    <w:rsid w:val="33FB393B"/>
    <w:rsid w:val="33FF7545"/>
    <w:rsid w:val="33FF778B"/>
    <w:rsid w:val="34010971"/>
    <w:rsid w:val="34024895"/>
    <w:rsid w:val="34060532"/>
    <w:rsid w:val="34070B69"/>
    <w:rsid w:val="34120C85"/>
    <w:rsid w:val="34160775"/>
    <w:rsid w:val="34164C19"/>
    <w:rsid w:val="34212FF4"/>
    <w:rsid w:val="3428494C"/>
    <w:rsid w:val="342E56F7"/>
    <w:rsid w:val="342F4C3F"/>
    <w:rsid w:val="34335D23"/>
    <w:rsid w:val="343B117C"/>
    <w:rsid w:val="344E7456"/>
    <w:rsid w:val="344F3C87"/>
    <w:rsid w:val="345474EF"/>
    <w:rsid w:val="34584EA4"/>
    <w:rsid w:val="34595DC4"/>
    <w:rsid w:val="34632FD8"/>
    <w:rsid w:val="346B1360"/>
    <w:rsid w:val="346B3645"/>
    <w:rsid w:val="34724719"/>
    <w:rsid w:val="347A5296"/>
    <w:rsid w:val="347F6AA0"/>
    <w:rsid w:val="34A123B6"/>
    <w:rsid w:val="34AA0221"/>
    <w:rsid w:val="34AD6C0C"/>
    <w:rsid w:val="34B5071A"/>
    <w:rsid w:val="34B65AB4"/>
    <w:rsid w:val="34BB30CA"/>
    <w:rsid w:val="34BF705E"/>
    <w:rsid w:val="34C32D62"/>
    <w:rsid w:val="34CF3B84"/>
    <w:rsid w:val="34D0301A"/>
    <w:rsid w:val="34D244CF"/>
    <w:rsid w:val="34D976EF"/>
    <w:rsid w:val="34DD74E5"/>
    <w:rsid w:val="34E51838"/>
    <w:rsid w:val="34E97C37"/>
    <w:rsid w:val="34F51598"/>
    <w:rsid w:val="34F82570"/>
    <w:rsid w:val="34FF423F"/>
    <w:rsid w:val="34FF745B"/>
    <w:rsid w:val="350D33CC"/>
    <w:rsid w:val="35115FF1"/>
    <w:rsid w:val="35195CCC"/>
    <w:rsid w:val="352E1AEE"/>
    <w:rsid w:val="35395052"/>
    <w:rsid w:val="353A66E5"/>
    <w:rsid w:val="354037CC"/>
    <w:rsid w:val="354E23C9"/>
    <w:rsid w:val="3550415A"/>
    <w:rsid w:val="35527ED3"/>
    <w:rsid w:val="35535C24"/>
    <w:rsid w:val="35610116"/>
    <w:rsid w:val="35685C1E"/>
    <w:rsid w:val="35725E7F"/>
    <w:rsid w:val="35741F33"/>
    <w:rsid w:val="357C03C2"/>
    <w:rsid w:val="357F147D"/>
    <w:rsid w:val="3587712D"/>
    <w:rsid w:val="358931C8"/>
    <w:rsid w:val="35932CBB"/>
    <w:rsid w:val="35942ED3"/>
    <w:rsid w:val="359767AA"/>
    <w:rsid w:val="35987D8F"/>
    <w:rsid w:val="35A13F7A"/>
    <w:rsid w:val="35A26038"/>
    <w:rsid w:val="35A371D2"/>
    <w:rsid w:val="35A561EB"/>
    <w:rsid w:val="35AF2013"/>
    <w:rsid w:val="35AF5034"/>
    <w:rsid w:val="35B569AE"/>
    <w:rsid w:val="35B83367"/>
    <w:rsid w:val="35C476F7"/>
    <w:rsid w:val="35C6441D"/>
    <w:rsid w:val="35C93B43"/>
    <w:rsid w:val="35CD7559"/>
    <w:rsid w:val="35D67FA6"/>
    <w:rsid w:val="35D70777"/>
    <w:rsid w:val="35DA54E6"/>
    <w:rsid w:val="35DD7366"/>
    <w:rsid w:val="35E043F7"/>
    <w:rsid w:val="35E0728C"/>
    <w:rsid w:val="35E41F02"/>
    <w:rsid w:val="35EB65FB"/>
    <w:rsid w:val="35ED0D88"/>
    <w:rsid w:val="35F20BF4"/>
    <w:rsid w:val="360A255B"/>
    <w:rsid w:val="360A2F70"/>
    <w:rsid w:val="360B1E2F"/>
    <w:rsid w:val="360C6155"/>
    <w:rsid w:val="3617209F"/>
    <w:rsid w:val="361B5BCA"/>
    <w:rsid w:val="36251C3E"/>
    <w:rsid w:val="362A675A"/>
    <w:rsid w:val="362C4AD2"/>
    <w:rsid w:val="362F071A"/>
    <w:rsid w:val="363A02E4"/>
    <w:rsid w:val="363B0967"/>
    <w:rsid w:val="364D069A"/>
    <w:rsid w:val="364E625A"/>
    <w:rsid w:val="365006C6"/>
    <w:rsid w:val="36531C5D"/>
    <w:rsid w:val="36545584"/>
    <w:rsid w:val="365A0AE0"/>
    <w:rsid w:val="365B2DB7"/>
    <w:rsid w:val="365B6913"/>
    <w:rsid w:val="365D45AF"/>
    <w:rsid w:val="365D6B2F"/>
    <w:rsid w:val="366B34C2"/>
    <w:rsid w:val="36712E0A"/>
    <w:rsid w:val="367479D5"/>
    <w:rsid w:val="367F5E73"/>
    <w:rsid w:val="36826596"/>
    <w:rsid w:val="36850BEF"/>
    <w:rsid w:val="36856CCD"/>
    <w:rsid w:val="3689180E"/>
    <w:rsid w:val="36941E25"/>
    <w:rsid w:val="36AA59E4"/>
    <w:rsid w:val="36AA5AEC"/>
    <w:rsid w:val="36AB1E2D"/>
    <w:rsid w:val="36B12D75"/>
    <w:rsid w:val="36B3608B"/>
    <w:rsid w:val="36B83D65"/>
    <w:rsid w:val="36B8424F"/>
    <w:rsid w:val="36BB3856"/>
    <w:rsid w:val="36BF3346"/>
    <w:rsid w:val="36C13D36"/>
    <w:rsid w:val="36C71CEE"/>
    <w:rsid w:val="36C872FA"/>
    <w:rsid w:val="36CE37A2"/>
    <w:rsid w:val="36CF7301"/>
    <w:rsid w:val="36D466BB"/>
    <w:rsid w:val="36E42DAC"/>
    <w:rsid w:val="36E8114C"/>
    <w:rsid w:val="36F37C95"/>
    <w:rsid w:val="36F56DB6"/>
    <w:rsid w:val="37021484"/>
    <w:rsid w:val="370270D2"/>
    <w:rsid w:val="37072E73"/>
    <w:rsid w:val="370776A0"/>
    <w:rsid w:val="370A0339"/>
    <w:rsid w:val="370A5177"/>
    <w:rsid w:val="3711621C"/>
    <w:rsid w:val="37116876"/>
    <w:rsid w:val="37117919"/>
    <w:rsid w:val="371E5B56"/>
    <w:rsid w:val="3728337F"/>
    <w:rsid w:val="372C6501"/>
    <w:rsid w:val="372E2279"/>
    <w:rsid w:val="3736611C"/>
    <w:rsid w:val="374B6987"/>
    <w:rsid w:val="375241BA"/>
    <w:rsid w:val="375717D0"/>
    <w:rsid w:val="375A129B"/>
    <w:rsid w:val="375A4EDC"/>
    <w:rsid w:val="375B1D83"/>
    <w:rsid w:val="375D2A64"/>
    <w:rsid w:val="375E5FF7"/>
    <w:rsid w:val="3760340A"/>
    <w:rsid w:val="37684B3E"/>
    <w:rsid w:val="37690021"/>
    <w:rsid w:val="376B41D3"/>
    <w:rsid w:val="376D2DA2"/>
    <w:rsid w:val="37746721"/>
    <w:rsid w:val="379C71E3"/>
    <w:rsid w:val="37A367C3"/>
    <w:rsid w:val="37A7208E"/>
    <w:rsid w:val="37A83D69"/>
    <w:rsid w:val="37A909EE"/>
    <w:rsid w:val="37BD3F7B"/>
    <w:rsid w:val="37C23C55"/>
    <w:rsid w:val="37C24DEC"/>
    <w:rsid w:val="37C404E8"/>
    <w:rsid w:val="37C638EC"/>
    <w:rsid w:val="37C663B6"/>
    <w:rsid w:val="37C71781"/>
    <w:rsid w:val="37CB1876"/>
    <w:rsid w:val="37CC393A"/>
    <w:rsid w:val="37CE69F3"/>
    <w:rsid w:val="37D119EB"/>
    <w:rsid w:val="37DA5419"/>
    <w:rsid w:val="37DC3AF3"/>
    <w:rsid w:val="37E21B1F"/>
    <w:rsid w:val="37E312B6"/>
    <w:rsid w:val="37E56DDC"/>
    <w:rsid w:val="37EA4FC0"/>
    <w:rsid w:val="37F56653"/>
    <w:rsid w:val="37F95B87"/>
    <w:rsid w:val="3803406C"/>
    <w:rsid w:val="38037262"/>
    <w:rsid w:val="38060B00"/>
    <w:rsid w:val="38247211"/>
    <w:rsid w:val="382D29CC"/>
    <w:rsid w:val="382E6620"/>
    <w:rsid w:val="382E7A2C"/>
    <w:rsid w:val="38333699"/>
    <w:rsid w:val="38341B11"/>
    <w:rsid w:val="3838416B"/>
    <w:rsid w:val="38406C89"/>
    <w:rsid w:val="38451A31"/>
    <w:rsid w:val="385300EB"/>
    <w:rsid w:val="385332C3"/>
    <w:rsid w:val="385F3DB9"/>
    <w:rsid w:val="38694663"/>
    <w:rsid w:val="386C0CC7"/>
    <w:rsid w:val="3870436D"/>
    <w:rsid w:val="38751D2C"/>
    <w:rsid w:val="387939C8"/>
    <w:rsid w:val="38806B05"/>
    <w:rsid w:val="388D53A9"/>
    <w:rsid w:val="3891082D"/>
    <w:rsid w:val="389251A6"/>
    <w:rsid w:val="38934537"/>
    <w:rsid w:val="389B5BDC"/>
    <w:rsid w:val="38A26A7B"/>
    <w:rsid w:val="38A752A9"/>
    <w:rsid w:val="38A94C4E"/>
    <w:rsid w:val="38AC5B4C"/>
    <w:rsid w:val="38AD342D"/>
    <w:rsid w:val="38AF73EA"/>
    <w:rsid w:val="38B85B0F"/>
    <w:rsid w:val="38B93E24"/>
    <w:rsid w:val="38BA5783"/>
    <w:rsid w:val="38BD1B07"/>
    <w:rsid w:val="38C43D17"/>
    <w:rsid w:val="38CC1D4A"/>
    <w:rsid w:val="38D05ABD"/>
    <w:rsid w:val="38D14846"/>
    <w:rsid w:val="38D8249D"/>
    <w:rsid w:val="38DE1A7D"/>
    <w:rsid w:val="38E36EF8"/>
    <w:rsid w:val="38ED3A6E"/>
    <w:rsid w:val="38F371CC"/>
    <w:rsid w:val="38F47BE0"/>
    <w:rsid w:val="38F75C77"/>
    <w:rsid w:val="38F8669B"/>
    <w:rsid w:val="38FB4E59"/>
    <w:rsid w:val="3903079C"/>
    <w:rsid w:val="390A4620"/>
    <w:rsid w:val="39111E53"/>
    <w:rsid w:val="39180AEB"/>
    <w:rsid w:val="392E6561"/>
    <w:rsid w:val="3932216C"/>
    <w:rsid w:val="393727E7"/>
    <w:rsid w:val="393949E8"/>
    <w:rsid w:val="394072A7"/>
    <w:rsid w:val="39537E0A"/>
    <w:rsid w:val="395C3130"/>
    <w:rsid w:val="395C65E6"/>
    <w:rsid w:val="39601941"/>
    <w:rsid w:val="39667C2D"/>
    <w:rsid w:val="39685997"/>
    <w:rsid w:val="396E76EA"/>
    <w:rsid w:val="3971469F"/>
    <w:rsid w:val="398301F6"/>
    <w:rsid w:val="398A4172"/>
    <w:rsid w:val="398F7860"/>
    <w:rsid w:val="3997031A"/>
    <w:rsid w:val="3999052A"/>
    <w:rsid w:val="399B1E80"/>
    <w:rsid w:val="39A022DE"/>
    <w:rsid w:val="39A52BFA"/>
    <w:rsid w:val="39AF3B46"/>
    <w:rsid w:val="39B92E0D"/>
    <w:rsid w:val="39BC11F0"/>
    <w:rsid w:val="39BF2300"/>
    <w:rsid w:val="39BF540B"/>
    <w:rsid w:val="39C9478A"/>
    <w:rsid w:val="39CE5368"/>
    <w:rsid w:val="39D0586A"/>
    <w:rsid w:val="39D92970"/>
    <w:rsid w:val="39DB7C7A"/>
    <w:rsid w:val="39DD3D39"/>
    <w:rsid w:val="39DF5AAD"/>
    <w:rsid w:val="39EA5F34"/>
    <w:rsid w:val="39F350B4"/>
    <w:rsid w:val="39F9090A"/>
    <w:rsid w:val="39FA0079"/>
    <w:rsid w:val="39FB7EE1"/>
    <w:rsid w:val="39FE23D7"/>
    <w:rsid w:val="39FE3CFA"/>
    <w:rsid w:val="3A0E3A77"/>
    <w:rsid w:val="3A100653"/>
    <w:rsid w:val="3A145757"/>
    <w:rsid w:val="3A29345D"/>
    <w:rsid w:val="3A29777E"/>
    <w:rsid w:val="3A2A0898"/>
    <w:rsid w:val="3A2B68BA"/>
    <w:rsid w:val="3A347670"/>
    <w:rsid w:val="3A35027F"/>
    <w:rsid w:val="3A35061A"/>
    <w:rsid w:val="3A513D91"/>
    <w:rsid w:val="3A530321"/>
    <w:rsid w:val="3A596292"/>
    <w:rsid w:val="3A63048C"/>
    <w:rsid w:val="3A696757"/>
    <w:rsid w:val="3A7C619B"/>
    <w:rsid w:val="3A7C79CB"/>
    <w:rsid w:val="3A7E24A7"/>
    <w:rsid w:val="3A802DEC"/>
    <w:rsid w:val="3A827146"/>
    <w:rsid w:val="3A887C30"/>
    <w:rsid w:val="3A8C79E3"/>
    <w:rsid w:val="3A8D0E8E"/>
    <w:rsid w:val="3A976388"/>
    <w:rsid w:val="3AA756CA"/>
    <w:rsid w:val="3AAC284C"/>
    <w:rsid w:val="3AAD7959"/>
    <w:rsid w:val="3AB14A79"/>
    <w:rsid w:val="3AB47ABE"/>
    <w:rsid w:val="3AC33028"/>
    <w:rsid w:val="3AC54CA3"/>
    <w:rsid w:val="3AC76C6D"/>
    <w:rsid w:val="3ACF5BDB"/>
    <w:rsid w:val="3AD244C6"/>
    <w:rsid w:val="3ADA2DF7"/>
    <w:rsid w:val="3ADD512D"/>
    <w:rsid w:val="3AE01ADD"/>
    <w:rsid w:val="3AEB1E83"/>
    <w:rsid w:val="3AEC656F"/>
    <w:rsid w:val="3AF31810"/>
    <w:rsid w:val="3B082DE1"/>
    <w:rsid w:val="3B1654FE"/>
    <w:rsid w:val="3B1948F9"/>
    <w:rsid w:val="3B1B647C"/>
    <w:rsid w:val="3B1F04D7"/>
    <w:rsid w:val="3B213768"/>
    <w:rsid w:val="3B253993"/>
    <w:rsid w:val="3B2C4D22"/>
    <w:rsid w:val="3B2E01B1"/>
    <w:rsid w:val="3B3140E6"/>
    <w:rsid w:val="3B316047"/>
    <w:rsid w:val="3B36794F"/>
    <w:rsid w:val="3B381919"/>
    <w:rsid w:val="3B3D4AAF"/>
    <w:rsid w:val="3B4501D5"/>
    <w:rsid w:val="3B563DEB"/>
    <w:rsid w:val="3B5A5980"/>
    <w:rsid w:val="3B5C77F8"/>
    <w:rsid w:val="3B635EC2"/>
    <w:rsid w:val="3B6567B8"/>
    <w:rsid w:val="3B684042"/>
    <w:rsid w:val="3B6A57B9"/>
    <w:rsid w:val="3B6A75F8"/>
    <w:rsid w:val="3B6C511E"/>
    <w:rsid w:val="3B6D403C"/>
    <w:rsid w:val="3B6F44A6"/>
    <w:rsid w:val="3B930891"/>
    <w:rsid w:val="3B943037"/>
    <w:rsid w:val="3B9C3C56"/>
    <w:rsid w:val="3B9C6A51"/>
    <w:rsid w:val="3BA14BDF"/>
    <w:rsid w:val="3BA62143"/>
    <w:rsid w:val="3BA725FA"/>
    <w:rsid w:val="3BB70A8F"/>
    <w:rsid w:val="3BC1569D"/>
    <w:rsid w:val="3BD31641"/>
    <w:rsid w:val="3BD67E49"/>
    <w:rsid w:val="3BDE15C3"/>
    <w:rsid w:val="3BDF51BF"/>
    <w:rsid w:val="3BE170B2"/>
    <w:rsid w:val="3BE4270E"/>
    <w:rsid w:val="3BEC565F"/>
    <w:rsid w:val="3BF26D01"/>
    <w:rsid w:val="3BF67782"/>
    <w:rsid w:val="3BF86230"/>
    <w:rsid w:val="3BFE71B3"/>
    <w:rsid w:val="3BFF2436"/>
    <w:rsid w:val="3C073ED8"/>
    <w:rsid w:val="3C0754F6"/>
    <w:rsid w:val="3C0A6B88"/>
    <w:rsid w:val="3C1122D3"/>
    <w:rsid w:val="3C137C90"/>
    <w:rsid w:val="3C1C74B2"/>
    <w:rsid w:val="3C271B22"/>
    <w:rsid w:val="3C2C13A6"/>
    <w:rsid w:val="3C2C2A81"/>
    <w:rsid w:val="3C3754D1"/>
    <w:rsid w:val="3C3A7548"/>
    <w:rsid w:val="3C3B4B0F"/>
    <w:rsid w:val="3C4127AA"/>
    <w:rsid w:val="3C4165AB"/>
    <w:rsid w:val="3C4801FA"/>
    <w:rsid w:val="3C557FEC"/>
    <w:rsid w:val="3C575DCE"/>
    <w:rsid w:val="3C577B7C"/>
    <w:rsid w:val="3C5A141B"/>
    <w:rsid w:val="3C5B725E"/>
    <w:rsid w:val="3C5E7219"/>
    <w:rsid w:val="3C602F4F"/>
    <w:rsid w:val="3C6D5FA6"/>
    <w:rsid w:val="3C705C8C"/>
    <w:rsid w:val="3C721010"/>
    <w:rsid w:val="3C7D4492"/>
    <w:rsid w:val="3C814BF9"/>
    <w:rsid w:val="3C844A43"/>
    <w:rsid w:val="3C8A7F52"/>
    <w:rsid w:val="3C8B16ED"/>
    <w:rsid w:val="3C92713B"/>
    <w:rsid w:val="3C930B76"/>
    <w:rsid w:val="3C995F6A"/>
    <w:rsid w:val="3C9C5ED7"/>
    <w:rsid w:val="3CA041DC"/>
    <w:rsid w:val="3CA37266"/>
    <w:rsid w:val="3CA37A53"/>
    <w:rsid w:val="3CA95ECF"/>
    <w:rsid w:val="3CAE4F78"/>
    <w:rsid w:val="3CBB5570"/>
    <w:rsid w:val="3CBE150A"/>
    <w:rsid w:val="3CC03E16"/>
    <w:rsid w:val="3CC10CC5"/>
    <w:rsid w:val="3CC64D02"/>
    <w:rsid w:val="3CCB2319"/>
    <w:rsid w:val="3CD03D1C"/>
    <w:rsid w:val="3CD53E1A"/>
    <w:rsid w:val="3CE37DB9"/>
    <w:rsid w:val="3CE541AC"/>
    <w:rsid w:val="3CE54987"/>
    <w:rsid w:val="3CEA7666"/>
    <w:rsid w:val="3CF10C32"/>
    <w:rsid w:val="3CF46870"/>
    <w:rsid w:val="3CF53393"/>
    <w:rsid w:val="3CF63839"/>
    <w:rsid w:val="3CF646FE"/>
    <w:rsid w:val="3CFD3422"/>
    <w:rsid w:val="3D120058"/>
    <w:rsid w:val="3D124E5E"/>
    <w:rsid w:val="3D174F09"/>
    <w:rsid w:val="3D182462"/>
    <w:rsid w:val="3D211F38"/>
    <w:rsid w:val="3D245479"/>
    <w:rsid w:val="3D2619CF"/>
    <w:rsid w:val="3D2845FA"/>
    <w:rsid w:val="3D37152D"/>
    <w:rsid w:val="3D3F79C1"/>
    <w:rsid w:val="3D4C0468"/>
    <w:rsid w:val="3D4D24C4"/>
    <w:rsid w:val="3D510A70"/>
    <w:rsid w:val="3D5347E8"/>
    <w:rsid w:val="3D650C22"/>
    <w:rsid w:val="3D670293"/>
    <w:rsid w:val="3D7031A3"/>
    <w:rsid w:val="3D707E16"/>
    <w:rsid w:val="3D742ACF"/>
    <w:rsid w:val="3D754947"/>
    <w:rsid w:val="3D76583D"/>
    <w:rsid w:val="3D7B3D3F"/>
    <w:rsid w:val="3D832F45"/>
    <w:rsid w:val="3D8415AA"/>
    <w:rsid w:val="3D877110"/>
    <w:rsid w:val="3D891FB8"/>
    <w:rsid w:val="3D8E5820"/>
    <w:rsid w:val="3D9E35C6"/>
    <w:rsid w:val="3DA35E89"/>
    <w:rsid w:val="3DA56634"/>
    <w:rsid w:val="3DA768E2"/>
    <w:rsid w:val="3DA94408"/>
    <w:rsid w:val="3DB936DA"/>
    <w:rsid w:val="3DBA6615"/>
    <w:rsid w:val="3DC27AF5"/>
    <w:rsid w:val="3DC76F84"/>
    <w:rsid w:val="3DCE42A4"/>
    <w:rsid w:val="3DD26477"/>
    <w:rsid w:val="3DD516A1"/>
    <w:rsid w:val="3DD51D9B"/>
    <w:rsid w:val="3DD75419"/>
    <w:rsid w:val="3DEC4562"/>
    <w:rsid w:val="3DF633C5"/>
    <w:rsid w:val="3DF639EE"/>
    <w:rsid w:val="3E0D209C"/>
    <w:rsid w:val="3E126451"/>
    <w:rsid w:val="3E15650D"/>
    <w:rsid w:val="3E206803"/>
    <w:rsid w:val="3E27138C"/>
    <w:rsid w:val="3E2D5461"/>
    <w:rsid w:val="3E330850"/>
    <w:rsid w:val="3E365709"/>
    <w:rsid w:val="3E3B0B2B"/>
    <w:rsid w:val="3E4822D1"/>
    <w:rsid w:val="3E4E2BC9"/>
    <w:rsid w:val="3E55713E"/>
    <w:rsid w:val="3E5849EE"/>
    <w:rsid w:val="3E5B26AD"/>
    <w:rsid w:val="3E5F540E"/>
    <w:rsid w:val="3E6132FB"/>
    <w:rsid w:val="3E675FEF"/>
    <w:rsid w:val="3E6A1F25"/>
    <w:rsid w:val="3E6B5B61"/>
    <w:rsid w:val="3E6D4780"/>
    <w:rsid w:val="3E75078E"/>
    <w:rsid w:val="3E764903"/>
    <w:rsid w:val="3E8122D5"/>
    <w:rsid w:val="3E872C5F"/>
    <w:rsid w:val="3E8C1924"/>
    <w:rsid w:val="3E9D4C60"/>
    <w:rsid w:val="3EA163BD"/>
    <w:rsid w:val="3EA82911"/>
    <w:rsid w:val="3EB766D4"/>
    <w:rsid w:val="3EB9571D"/>
    <w:rsid w:val="3EBA43F3"/>
    <w:rsid w:val="3EC07157"/>
    <w:rsid w:val="3EC26F8C"/>
    <w:rsid w:val="3EDD0E98"/>
    <w:rsid w:val="3EE452E4"/>
    <w:rsid w:val="3F0F4F67"/>
    <w:rsid w:val="3F1E0E25"/>
    <w:rsid w:val="3F20322B"/>
    <w:rsid w:val="3F221A4C"/>
    <w:rsid w:val="3F226B6D"/>
    <w:rsid w:val="3F2548C6"/>
    <w:rsid w:val="3F2A7F57"/>
    <w:rsid w:val="3F2B03F7"/>
    <w:rsid w:val="3F3371A1"/>
    <w:rsid w:val="3F3B19D7"/>
    <w:rsid w:val="3F3C2517"/>
    <w:rsid w:val="3F422D66"/>
    <w:rsid w:val="3F47212A"/>
    <w:rsid w:val="3F514D57"/>
    <w:rsid w:val="3F541D41"/>
    <w:rsid w:val="3F544C5A"/>
    <w:rsid w:val="3F5E692A"/>
    <w:rsid w:val="3F60143E"/>
    <w:rsid w:val="3F610013"/>
    <w:rsid w:val="3F6251B6"/>
    <w:rsid w:val="3F641B3C"/>
    <w:rsid w:val="3F675D1C"/>
    <w:rsid w:val="3F6965B2"/>
    <w:rsid w:val="3F6C558F"/>
    <w:rsid w:val="3F781550"/>
    <w:rsid w:val="3F833841"/>
    <w:rsid w:val="3F843CB0"/>
    <w:rsid w:val="3F8C3FE1"/>
    <w:rsid w:val="3F904884"/>
    <w:rsid w:val="3F9473E5"/>
    <w:rsid w:val="3F9D1D4A"/>
    <w:rsid w:val="3FA56E51"/>
    <w:rsid w:val="3FA7103D"/>
    <w:rsid w:val="3FA72BC9"/>
    <w:rsid w:val="3FAC01DF"/>
    <w:rsid w:val="3FCF6CD5"/>
    <w:rsid w:val="3FD63F57"/>
    <w:rsid w:val="3FDA2F9E"/>
    <w:rsid w:val="3FE3612F"/>
    <w:rsid w:val="3FF23896"/>
    <w:rsid w:val="3FF25251"/>
    <w:rsid w:val="3FF45AB3"/>
    <w:rsid w:val="3FF52F71"/>
    <w:rsid w:val="3FF947D3"/>
    <w:rsid w:val="3FFB15EC"/>
    <w:rsid w:val="3FFF2A05"/>
    <w:rsid w:val="400022D9"/>
    <w:rsid w:val="40061FE5"/>
    <w:rsid w:val="400E09EE"/>
    <w:rsid w:val="400F4F7A"/>
    <w:rsid w:val="40122B42"/>
    <w:rsid w:val="40195E23"/>
    <w:rsid w:val="401A15ED"/>
    <w:rsid w:val="4024421A"/>
    <w:rsid w:val="40251CD1"/>
    <w:rsid w:val="402D2400"/>
    <w:rsid w:val="40390C3D"/>
    <w:rsid w:val="40443DEF"/>
    <w:rsid w:val="4044604D"/>
    <w:rsid w:val="404623E2"/>
    <w:rsid w:val="40543FAE"/>
    <w:rsid w:val="4057477A"/>
    <w:rsid w:val="406311E6"/>
    <w:rsid w:val="406E7B8B"/>
    <w:rsid w:val="40703FF6"/>
    <w:rsid w:val="40736643"/>
    <w:rsid w:val="40754A75"/>
    <w:rsid w:val="407E6B3E"/>
    <w:rsid w:val="408C1A40"/>
    <w:rsid w:val="40910D18"/>
    <w:rsid w:val="40953369"/>
    <w:rsid w:val="40A06868"/>
    <w:rsid w:val="40A23390"/>
    <w:rsid w:val="40A27CFE"/>
    <w:rsid w:val="40A37834"/>
    <w:rsid w:val="40AA5F6A"/>
    <w:rsid w:val="40AC6556"/>
    <w:rsid w:val="40BA4B7E"/>
    <w:rsid w:val="40BD62C9"/>
    <w:rsid w:val="40C06995"/>
    <w:rsid w:val="40C07CD3"/>
    <w:rsid w:val="40C57C2E"/>
    <w:rsid w:val="40C63523"/>
    <w:rsid w:val="40C9486C"/>
    <w:rsid w:val="40D57444"/>
    <w:rsid w:val="40D87C84"/>
    <w:rsid w:val="40E05F48"/>
    <w:rsid w:val="40E35C75"/>
    <w:rsid w:val="40EC758D"/>
    <w:rsid w:val="40ED2AC1"/>
    <w:rsid w:val="40F86AD1"/>
    <w:rsid w:val="40F8750D"/>
    <w:rsid w:val="40FA66D5"/>
    <w:rsid w:val="41097C06"/>
    <w:rsid w:val="410C56C8"/>
    <w:rsid w:val="41144A29"/>
    <w:rsid w:val="411502A2"/>
    <w:rsid w:val="41260572"/>
    <w:rsid w:val="4129437F"/>
    <w:rsid w:val="412C346F"/>
    <w:rsid w:val="41311D60"/>
    <w:rsid w:val="414365DD"/>
    <w:rsid w:val="4148610D"/>
    <w:rsid w:val="414D59F2"/>
    <w:rsid w:val="415428DD"/>
    <w:rsid w:val="415F1224"/>
    <w:rsid w:val="41601281"/>
    <w:rsid w:val="41636FC4"/>
    <w:rsid w:val="41654AEA"/>
    <w:rsid w:val="41702D9E"/>
    <w:rsid w:val="41726AFC"/>
    <w:rsid w:val="41774E0A"/>
    <w:rsid w:val="418E2292"/>
    <w:rsid w:val="418F3E81"/>
    <w:rsid w:val="41926A0D"/>
    <w:rsid w:val="41930BCF"/>
    <w:rsid w:val="41943181"/>
    <w:rsid w:val="41962EF5"/>
    <w:rsid w:val="419A55AA"/>
    <w:rsid w:val="419A5EC2"/>
    <w:rsid w:val="419B2F27"/>
    <w:rsid w:val="419E68F7"/>
    <w:rsid w:val="41AB2F2C"/>
    <w:rsid w:val="41AC096A"/>
    <w:rsid w:val="41AF1D77"/>
    <w:rsid w:val="41B6439D"/>
    <w:rsid w:val="41B67FF5"/>
    <w:rsid w:val="41B872C4"/>
    <w:rsid w:val="41B949A5"/>
    <w:rsid w:val="41BB6A0F"/>
    <w:rsid w:val="41C9151C"/>
    <w:rsid w:val="41CD3448"/>
    <w:rsid w:val="41CE08E1"/>
    <w:rsid w:val="41CE4490"/>
    <w:rsid w:val="41E629AB"/>
    <w:rsid w:val="41EB7437"/>
    <w:rsid w:val="41F33DFE"/>
    <w:rsid w:val="41FA3C09"/>
    <w:rsid w:val="41FD5C15"/>
    <w:rsid w:val="41FE78EB"/>
    <w:rsid w:val="41FF6CEC"/>
    <w:rsid w:val="42024D51"/>
    <w:rsid w:val="4205007B"/>
    <w:rsid w:val="42097562"/>
    <w:rsid w:val="42131BBB"/>
    <w:rsid w:val="42165238"/>
    <w:rsid w:val="421D2F2B"/>
    <w:rsid w:val="42245725"/>
    <w:rsid w:val="422A188F"/>
    <w:rsid w:val="42346110"/>
    <w:rsid w:val="423A4274"/>
    <w:rsid w:val="42403B14"/>
    <w:rsid w:val="42452E8B"/>
    <w:rsid w:val="42494CE1"/>
    <w:rsid w:val="42497F67"/>
    <w:rsid w:val="42537038"/>
    <w:rsid w:val="425A0117"/>
    <w:rsid w:val="425A3A9D"/>
    <w:rsid w:val="425A3F23"/>
    <w:rsid w:val="425B2519"/>
    <w:rsid w:val="42621029"/>
    <w:rsid w:val="42711C2E"/>
    <w:rsid w:val="42786A9F"/>
    <w:rsid w:val="42821C35"/>
    <w:rsid w:val="42847AAF"/>
    <w:rsid w:val="4290002C"/>
    <w:rsid w:val="42935686"/>
    <w:rsid w:val="42970E42"/>
    <w:rsid w:val="429A090A"/>
    <w:rsid w:val="42A1175E"/>
    <w:rsid w:val="42A27C88"/>
    <w:rsid w:val="42B06238"/>
    <w:rsid w:val="42B2519E"/>
    <w:rsid w:val="42BF221B"/>
    <w:rsid w:val="42C93714"/>
    <w:rsid w:val="42CB16A0"/>
    <w:rsid w:val="42D22C38"/>
    <w:rsid w:val="42D84B5D"/>
    <w:rsid w:val="42D9578F"/>
    <w:rsid w:val="42E473E0"/>
    <w:rsid w:val="42E652AA"/>
    <w:rsid w:val="42E83683"/>
    <w:rsid w:val="42EB7271"/>
    <w:rsid w:val="42EF2F1F"/>
    <w:rsid w:val="42F02AD9"/>
    <w:rsid w:val="42F17486"/>
    <w:rsid w:val="42F20DCB"/>
    <w:rsid w:val="42FB3958"/>
    <w:rsid w:val="430014D8"/>
    <w:rsid w:val="430309B5"/>
    <w:rsid w:val="43056584"/>
    <w:rsid w:val="43077056"/>
    <w:rsid w:val="43077BF5"/>
    <w:rsid w:val="430D368B"/>
    <w:rsid w:val="430E34BB"/>
    <w:rsid w:val="43192D7A"/>
    <w:rsid w:val="431F2B91"/>
    <w:rsid w:val="432244B9"/>
    <w:rsid w:val="432250C2"/>
    <w:rsid w:val="432B57DF"/>
    <w:rsid w:val="432E7911"/>
    <w:rsid w:val="432F220E"/>
    <w:rsid w:val="4334707F"/>
    <w:rsid w:val="433863B0"/>
    <w:rsid w:val="43401CB8"/>
    <w:rsid w:val="4351766F"/>
    <w:rsid w:val="435659EA"/>
    <w:rsid w:val="435672FF"/>
    <w:rsid w:val="435A7BB9"/>
    <w:rsid w:val="435C23F6"/>
    <w:rsid w:val="43630A71"/>
    <w:rsid w:val="43720088"/>
    <w:rsid w:val="437803D0"/>
    <w:rsid w:val="437F7839"/>
    <w:rsid w:val="43803E5D"/>
    <w:rsid w:val="438D5155"/>
    <w:rsid w:val="439A00D8"/>
    <w:rsid w:val="439E0787"/>
    <w:rsid w:val="43A07528"/>
    <w:rsid w:val="43B25DAF"/>
    <w:rsid w:val="43B77006"/>
    <w:rsid w:val="43B940FF"/>
    <w:rsid w:val="43D50475"/>
    <w:rsid w:val="43DC5CD7"/>
    <w:rsid w:val="43E02E07"/>
    <w:rsid w:val="43E8166A"/>
    <w:rsid w:val="44047215"/>
    <w:rsid w:val="44081D79"/>
    <w:rsid w:val="440A7BCA"/>
    <w:rsid w:val="441B5382"/>
    <w:rsid w:val="441D16AC"/>
    <w:rsid w:val="441D40A1"/>
    <w:rsid w:val="442018AB"/>
    <w:rsid w:val="442B2D2A"/>
    <w:rsid w:val="442C24EA"/>
    <w:rsid w:val="443A04B0"/>
    <w:rsid w:val="443E7B90"/>
    <w:rsid w:val="44523338"/>
    <w:rsid w:val="4456696C"/>
    <w:rsid w:val="446067DF"/>
    <w:rsid w:val="446A72EE"/>
    <w:rsid w:val="446B631E"/>
    <w:rsid w:val="446D5906"/>
    <w:rsid w:val="446D7602"/>
    <w:rsid w:val="446F69BC"/>
    <w:rsid w:val="44797306"/>
    <w:rsid w:val="447C0AC8"/>
    <w:rsid w:val="447E484C"/>
    <w:rsid w:val="44826404"/>
    <w:rsid w:val="44857E2E"/>
    <w:rsid w:val="448B2AB9"/>
    <w:rsid w:val="448D532B"/>
    <w:rsid w:val="449223A7"/>
    <w:rsid w:val="44950109"/>
    <w:rsid w:val="449750E1"/>
    <w:rsid w:val="449776B0"/>
    <w:rsid w:val="4499617F"/>
    <w:rsid w:val="449961D4"/>
    <w:rsid w:val="449B15EA"/>
    <w:rsid w:val="44A45929"/>
    <w:rsid w:val="44A771C7"/>
    <w:rsid w:val="44A91191"/>
    <w:rsid w:val="44B2430B"/>
    <w:rsid w:val="44B94C3F"/>
    <w:rsid w:val="44BB52CF"/>
    <w:rsid w:val="44C4068B"/>
    <w:rsid w:val="44CE0BF8"/>
    <w:rsid w:val="44CF130A"/>
    <w:rsid w:val="44D55FD6"/>
    <w:rsid w:val="44DF2C9A"/>
    <w:rsid w:val="44E117E0"/>
    <w:rsid w:val="44E17E86"/>
    <w:rsid w:val="44E60919"/>
    <w:rsid w:val="44E92828"/>
    <w:rsid w:val="44F30071"/>
    <w:rsid w:val="44F543D6"/>
    <w:rsid w:val="44F71ED9"/>
    <w:rsid w:val="44F85C75"/>
    <w:rsid w:val="44FF5255"/>
    <w:rsid w:val="45080353"/>
    <w:rsid w:val="4508410A"/>
    <w:rsid w:val="4509235A"/>
    <w:rsid w:val="45105351"/>
    <w:rsid w:val="45116495"/>
    <w:rsid w:val="451900C5"/>
    <w:rsid w:val="452453CC"/>
    <w:rsid w:val="45305613"/>
    <w:rsid w:val="453335EE"/>
    <w:rsid w:val="45341067"/>
    <w:rsid w:val="45423D83"/>
    <w:rsid w:val="45433394"/>
    <w:rsid w:val="455C4456"/>
    <w:rsid w:val="45682DFA"/>
    <w:rsid w:val="456B0B51"/>
    <w:rsid w:val="456F6439"/>
    <w:rsid w:val="45701CAF"/>
    <w:rsid w:val="457367E0"/>
    <w:rsid w:val="457622D2"/>
    <w:rsid w:val="458E74E7"/>
    <w:rsid w:val="459040FF"/>
    <w:rsid w:val="459354CE"/>
    <w:rsid w:val="4597723C"/>
    <w:rsid w:val="459935B0"/>
    <w:rsid w:val="459A33A8"/>
    <w:rsid w:val="45A556BE"/>
    <w:rsid w:val="45A72211"/>
    <w:rsid w:val="45AD4CB1"/>
    <w:rsid w:val="45B61DB8"/>
    <w:rsid w:val="45BB2AD0"/>
    <w:rsid w:val="45C121E3"/>
    <w:rsid w:val="45CA3E69"/>
    <w:rsid w:val="45CC15DB"/>
    <w:rsid w:val="45CD77B2"/>
    <w:rsid w:val="45CF23CC"/>
    <w:rsid w:val="45CF69D6"/>
    <w:rsid w:val="45D31BA7"/>
    <w:rsid w:val="45E06E35"/>
    <w:rsid w:val="45E63123"/>
    <w:rsid w:val="45EC3A2B"/>
    <w:rsid w:val="45EC7040"/>
    <w:rsid w:val="45F36B68"/>
    <w:rsid w:val="45FB7D63"/>
    <w:rsid w:val="46020664"/>
    <w:rsid w:val="46022645"/>
    <w:rsid w:val="46024588"/>
    <w:rsid w:val="460264AE"/>
    <w:rsid w:val="46051CF1"/>
    <w:rsid w:val="460D7786"/>
    <w:rsid w:val="461A5919"/>
    <w:rsid w:val="461E3706"/>
    <w:rsid w:val="461F23AB"/>
    <w:rsid w:val="462232D6"/>
    <w:rsid w:val="462720CD"/>
    <w:rsid w:val="46334D03"/>
    <w:rsid w:val="46374838"/>
    <w:rsid w:val="463D7DE3"/>
    <w:rsid w:val="463E3B5B"/>
    <w:rsid w:val="4641657D"/>
    <w:rsid w:val="46472A10"/>
    <w:rsid w:val="46476EB4"/>
    <w:rsid w:val="46537607"/>
    <w:rsid w:val="465467B2"/>
    <w:rsid w:val="466435C2"/>
    <w:rsid w:val="46682ACE"/>
    <w:rsid w:val="466E6D3D"/>
    <w:rsid w:val="468C5082"/>
    <w:rsid w:val="46987D74"/>
    <w:rsid w:val="469B3712"/>
    <w:rsid w:val="469D1B0C"/>
    <w:rsid w:val="469F0FEF"/>
    <w:rsid w:val="469F45FA"/>
    <w:rsid w:val="469F6444"/>
    <w:rsid w:val="46A00372"/>
    <w:rsid w:val="46A034E7"/>
    <w:rsid w:val="46A14816"/>
    <w:rsid w:val="46A2306B"/>
    <w:rsid w:val="46A7603D"/>
    <w:rsid w:val="46AA7020"/>
    <w:rsid w:val="46B0763B"/>
    <w:rsid w:val="46BF536D"/>
    <w:rsid w:val="46C14B54"/>
    <w:rsid w:val="46C94532"/>
    <w:rsid w:val="46CC0CA2"/>
    <w:rsid w:val="46CE3131"/>
    <w:rsid w:val="46CE4EDF"/>
    <w:rsid w:val="46D317FF"/>
    <w:rsid w:val="46D909FD"/>
    <w:rsid w:val="46DA408F"/>
    <w:rsid w:val="46E666CD"/>
    <w:rsid w:val="46E733EF"/>
    <w:rsid w:val="46E769F5"/>
    <w:rsid w:val="46F33646"/>
    <w:rsid w:val="46F37B2F"/>
    <w:rsid w:val="46F81F5C"/>
    <w:rsid w:val="46F968A0"/>
    <w:rsid w:val="47095F17"/>
    <w:rsid w:val="470A0CD4"/>
    <w:rsid w:val="470E25EC"/>
    <w:rsid w:val="471244AD"/>
    <w:rsid w:val="471263BB"/>
    <w:rsid w:val="47143D01"/>
    <w:rsid w:val="471825FE"/>
    <w:rsid w:val="47184779"/>
    <w:rsid w:val="472745EF"/>
    <w:rsid w:val="472C6503"/>
    <w:rsid w:val="4732546E"/>
    <w:rsid w:val="474156B1"/>
    <w:rsid w:val="4742528B"/>
    <w:rsid w:val="47501D98"/>
    <w:rsid w:val="475278BE"/>
    <w:rsid w:val="475472FE"/>
    <w:rsid w:val="47581AC3"/>
    <w:rsid w:val="476F56B2"/>
    <w:rsid w:val="4770221E"/>
    <w:rsid w:val="47737835"/>
    <w:rsid w:val="477660FF"/>
    <w:rsid w:val="477C2B8D"/>
    <w:rsid w:val="477D30A1"/>
    <w:rsid w:val="478009BF"/>
    <w:rsid w:val="47826536"/>
    <w:rsid w:val="47874932"/>
    <w:rsid w:val="47971775"/>
    <w:rsid w:val="47981849"/>
    <w:rsid w:val="4799373F"/>
    <w:rsid w:val="479B6D8E"/>
    <w:rsid w:val="47A143A2"/>
    <w:rsid w:val="47A7342F"/>
    <w:rsid w:val="47A90B86"/>
    <w:rsid w:val="47AB5220"/>
    <w:rsid w:val="47AD0D2F"/>
    <w:rsid w:val="47AF6ABF"/>
    <w:rsid w:val="47B9793D"/>
    <w:rsid w:val="47C24C00"/>
    <w:rsid w:val="47C47EC9"/>
    <w:rsid w:val="47C538D4"/>
    <w:rsid w:val="47CB0F32"/>
    <w:rsid w:val="47D227AD"/>
    <w:rsid w:val="47D24D0F"/>
    <w:rsid w:val="47D319E0"/>
    <w:rsid w:val="47DE1152"/>
    <w:rsid w:val="47E30E5E"/>
    <w:rsid w:val="47E37D95"/>
    <w:rsid w:val="47EB20B9"/>
    <w:rsid w:val="47EC2BFA"/>
    <w:rsid w:val="47EE6B62"/>
    <w:rsid w:val="47F403A6"/>
    <w:rsid w:val="47F87FA0"/>
    <w:rsid w:val="47FD1064"/>
    <w:rsid w:val="47FE35A2"/>
    <w:rsid w:val="48010F4C"/>
    <w:rsid w:val="48030BB8"/>
    <w:rsid w:val="48036E0A"/>
    <w:rsid w:val="48054429"/>
    <w:rsid w:val="480F1197"/>
    <w:rsid w:val="48110ABC"/>
    <w:rsid w:val="48146CCC"/>
    <w:rsid w:val="481C1C7A"/>
    <w:rsid w:val="481F3620"/>
    <w:rsid w:val="48234E24"/>
    <w:rsid w:val="48281A63"/>
    <w:rsid w:val="482B6291"/>
    <w:rsid w:val="482E141A"/>
    <w:rsid w:val="483723A4"/>
    <w:rsid w:val="483E37D5"/>
    <w:rsid w:val="483E5F26"/>
    <w:rsid w:val="48435EEF"/>
    <w:rsid w:val="48471A5C"/>
    <w:rsid w:val="4847319B"/>
    <w:rsid w:val="484B6D5E"/>
    <w:rsid w:val="484C63DB"/>
    <w:rsid w:val="484F0D7F"/>
    <w:rsid w:val="48527179"/>
    <w:rsid w:val="48553901"/>
    <w:rsid w:val="48575141"/>
    <w:rsid w:val="485D641B"/>
    <w:rsid w:val="486378A9"/>
    <w:rsid w:val="48645010"/>
    <w:rsid w:val="48670E57"/>
    <w:rsid w:val="4867273B"/>
    <w:rsid w:val="486755EB"/>
    <w:rsid w:val="486E1FF8"/>
    <w:rsid w:val="48763A80"/>
    <w:rsid w:val="48796D1B"/>
    <w:rsid w:val="487A531F"/>
    <w:rsid w:val="48810096"/>
    <w:rsid w:val="48811BDC"/>
    <w:rsid w:val="488F0507"/>
    <w:rsid w:val="488F069E"/>
    <w:rsid w:val="489A1A2F"/>
    <w:rsid w:val="489F6B69"/>
    <w:rsid w:val="48B620CF"/>
    <w:rsid w:val="48BB4D63"/>
    <w:rsid w:val="48BB7B7E"/>
    <w:rsid w:val="48BF7F62"/>
    <w:rsid w:val="48C543D4"/>
    <w:rsid w:val="48CF5551"/>
    <w:rsid w:val="48D2034A"/>
    <w:rsid w:val="48D42F19"/>
    <w:rsid w:val="48D52555"/>
    <w:rsid w:val="48D57619"/>
    <w:rsid w:val="48D62927"/>
    <w:rsid w:val="48DC7D87"/>
    <w:rsid w:val="48E1714C"/>
    <w:rsid w:val="48E2209D"/>
    <w:rsid w:val="48E2239B"/>
    <w:rsid w:val="48F52BF7"/>
    <w:rsid w:val="48F57BF3"/>
    <w:rsid w:val="48FB0BF5"/>
    <w:rsid w:val="48FF3A76"/>
    <w:rsid w:val="49057A6D"/>
    <w:rsid w:val="4909640E"/>
    <w:rsid w:val="490E060C"/>
    <w:rsid w:val="49164C4A"/>
    <w:rsid w:val="491D38AB"/>
    <w:rsid w:val="492B486B"/>
    <w:rsid w:val="49396A63"/>
    <w:rsid w:val="493A03DD"/>
    <w:rsid w:val="493E459E"/>
    <w:rsid w:val="494604E0"/>
    <w:rsid w:val="494D47E1"/>
    <w:rsid w:val="49575AAB"/>
    <w:rsid w:val="495F2766"/>
    <w:rsid w:val="4967173C"/>
    <w:rsid w:val="496A30C8"/>
    <w:rsid w:val="496D4D42"/>
    <w:rsid w:val="496F29A9"/>
    <w:rsid w:val="49877828"/>
    <w:rsid w:val="49877B61"/>
    <w:rsid w:val="498A3351"/>
    <w:rsid w:val="499C12C5"/>
    <w:rsid w:val="499C7FAA"/>
    <w:rsid w:val="499F72FC"/>
    <w:rsid w:val="49A07007"/>
    <w:rsid w:val="49A34F1C"/>
    <w:rsid w:val="49A525BD"/>
    <w:rsid w:val="49AC2931"/>
    <w:rsid w:val="49AE0DB3"/>
    <w:rsid w:val="49B011A5"/>
    <w:rsid w:val="49BC3715"/>
    <w:rsid w:val="49C933CC"/>
    <w:rsid w:val="49CA0FAD"/>
    <w:rsid w:val="49CA4D79"/>
    <w:rsid w:val="49CD639A"/>
    <w:rsid w:val="49D60C91"/>
    <w:rsid w:val="49E075EF"/>
    <w:rsid w:val="49E42A68"/>
    <w:rsid w:val="49E546A3"/>
    <w:rsid w:val="49E54A1A"/>
    <w:rsid w:val="49E80984"/>
    <w:rsid w:val="49E8275C"/>
    <w:rsid w:val="49EA05B8"/>
    <w:rsid w:val="49EC082B"/>
    <w:rsid w:val="49EE056F"/>
    <w:rsid w:val="49F20EE5"/>
    <w:rsid w:val="49F3668F"/>
    <w:rsid w:val="49F70BFF"/>
    <w:rsid w:val="49F8402B"/>
    <w:rsid w:val="49FB246A"/>
    <w:rsid w:val="49FD3241"/>
    <w:rsid w:val="4A01234E"/>
    <w:rsid w:val="4A0330F2"/>
    <w:rsid w:val="4A162E25"/>
    <w:rsid w:val="4A192915"/>
    <w:rsid w:val="4A255425"/>
    <w:rsid w:val="4A273284"/>
    <w:rsid w:val="4A296BD1"/>
    <w:rsid w:val="4A297978"/>
    <w:rsid w:val="4A3431F4"/>
    <w:rsid w:val="4A3D0DC1"/>
    <w:rsid w:val="4A3E0128"/>
    <w:rsid w:val="4A460556"/>
    <w:rsid w:val="4A4734A4"/>
    <w:rsid w:val="4A4A4B08"/>
    <w:rsid w:val="4A517316"/>
    <w:rsid w:val="4A5B4CDC"/>
    <w:rsid w:val="4A613EE2"/>
    <w:rsid w:val="4A65472D"/>
    <w:rsid w:val="4A7144AC"/>
    <w:rsid w:val="4A7E3226"/>
    <w:rsid w:val="4A822498"/>
    <w:rsid w:val="4A8626B0"/>
    <w:rsid w:val="4A8C2351"/>
    <w:rsid w:val="4A8C30E7"/>
    <w:rsid w:val="4A9139C0"/>
    <w:rsid w:val="4A993D03"/>
    <w:rsid w:val="4AAF0C1F"/>
    <w:rsid w:val="4AAF6A1F"/>
    <w:rsid w:val="4AB60164"/>
    <w:rsid w:val="4AB93444"/>
    <w:rsid w:val="4ABB197D"/>
    <w:rsid w:val="4AC05A77"/>
    <w:rsid w:val="4AC76815"/>
    <w:rsid w:val="4ACA1E61"/>
    <w:rsid w:val="4ACD0B73"/>
    <w:rsid w:val="4ACD20DD"/>
    <w:rsid w:val="4AD54A8E"/>
    <w:rsid w:val="4AD849ED"/>
    <w:rsid w:val="4ADE4879"/>
    <w:rsid w:val="4AE14E5D"/>
    <w:rsid w:val="4AEA646D"/>
    <w:rsid w:val="4AED30DE"/>
    <w:rsid w:val="4AEF3676"/>
    <w:rsid w:val="4B0271C0"/>
    <w:rsid w:val="4B0329D1"/>
    <w:rsid w:val="4B085F91"/>
    <w:rsid w:val="4B0A7B13"/>
    <w:rsid w:val="4B0C4228"/>
    <w:rsid w:val="4B1240CD"/>
    <w:rsid w:val="4B18776A"/>
    <w:rsid w:val="4B1C4D94"/>
    <w:rsid w:val="4B1D4687"/>
    <w:rsid w:val="4B22501D"/>
    <w:rsid w:val="4B226BD3"/>
    <w:rsid w:val="4B2653C4"/>
    <w:rsid w:val="4B321EE0"/>
    <w:rsid w:val="4B3B78E8"/>
    <w:rsid w:val="4B3C2ACB"/>
    <w:rsid w:val="4B3D6AD7"/>
    <w:rsid w:val="4B472A20"/>
    <w:rsid w:val="4B472F95"/>
    <w:rsid w:val="4B4825BE"/>
    <w:rsid w:val="4B485C30"/>
    <w:rsid w:val="4B490C79"/>
    <w:rsid w:val="4B4D1F11"/>
    <w:rsid w:val="4B550936"/>
    <w:rsid w:val="4B5708FF"/>
    <w:rsid w:val="4B5817AF"/>
    <w:rsid w:val="4B5A1437"/>
    <w:rsid w:val="4B603EBF"/>
    <w:rsid w:val="4B610DD7"/>
    <w:rsid w:val="4B6450DE"/>
    <w:rsid w:val="4B673268"/>
    <w:rsid w:val="4B6C4B6D"/>
    <w:rsid w:val="4B6D2F19"/>
    <w:rsid w:val="4B6D7BF9"/>
    <w:rsid w:val="4B726C56"/>
    <w:rsid w:val="4B750837"/>
    <w:rsid w:val="4B7A4902"/>
    <w:rsid w:val="4B806F13"/>
    <w:rsid w:val="4B840262"/>
    <w:rsid w:val="4B8A7D32"/>
    <w:rsid w:val="4B906B88"/>
    <w:rsid w:val="4B9314A8"/>
    <w:rsid w:val="4B991D1F"/>
    <w:rsid w:val="4B991F60"/>
    <w:rsid w:val="4B9D2F21"/>
    <w:rsid w:val="4BA31874"/>
    <w:rsid w:val="4BA3418D"/>
    <w:rsid w:val="4BA42864"/>
    <w:rsid w:val="4BA6400E"/>
    <w:rsid w:val="4BA914F8"/>
    <w:rsid w:val="4BAB3A41"/>
    <w:rsid w:val="4BAB63DB"/>
    <w:rsid w:val="4BAF082E"/>
    <w:rsid w:val="4BBD014A"/>
    <w:rsid w:val="4BBE2CA0"/>
    <w:rsid w:val="4BC36FDC"/>
    <w:rsid w:val="4BC811AA"/>
    <w:rsid w:val="4BCB679A"/>
    <w:rsid w:val="4BCC19EA"/>
    <w:rsid w:val="4BCD427D"/>
    <w:rsid w:val="4BDA1A1D"/>
    <w:rsid w:val="4BE11E5E"/>
    <w:rsid w:val="4BE366EC"/>
    <w:rsid w:val="4BE807F1"/>
    <w:rsid w:val="4BEA1BAB"/>
    <w:rsid w:val="4BEB2D3C"/>
    <w:rsid w:val="4BF3029F"/>
    <w:rsid w:val="4BF649D9"/>
    <w:rsid w:val="4BF749EC"/>
    <w:rsid w:val="4BF93271"/>
    <w:rsid w:val="4C080E93"/>
    <w:rsid w:val="4C0A585F"/>
    <w:rsid w:val="4C0E1539"/>
    <w:rsid w:val="4C0E41EC"/>
    <w:rsid w:val="4C146F86"/>
    <w:rsid w:val="4C15535E"/>
    <w:rsid w:val="4C1A36BD"/>
    <w:rsid w:val="4C1F5BE6"/>
    <w:rsid w:val="4C276021"/>
    <w:rsid w:val="4C2A2434"/>
    <w:rsid w:val="4C3412D4"/>
    <w:rsid w:val="4C353E7A"/>
    <w:rsid w:val="4C370B0C"/>
    <w:rsid w:val="4C413D75"/>
    <w:rsid w:val="4C436C3E"/>
    <w:rsid w:val="4C487137"/>
    <w:rsid w:val="4C510646"/>
    <w:rsid w:val="4C527A4E"/>
    <w:rsid w:val="4C5E0AB3"/>
    <w:rsid w:val="4C5E6D05"/>
    <w:rsid w:val="4C615C01"/>
    <w:rsid w:val="4C63256E"/>
    <w:rsid w:val="4C6C1422"/>
    <w:rsid w:val="4C6C480D"/>
    <w:rsid w:val="4C7A46ED"/>
    <w:rsid w:val="4C891FD4"/>
    <w:rsid w:val="4C8A7E10"/>
    <w:rsid w:val="4C9B15B0"/>
    <w:rsid w:val="4C9D782D"/>
    <w:rsid w:val="4CA5034A"/>
    <w:rsid w:val="4CB87547"/>
    <w:rsid w:val="4CC73DE1"/>
    <w:rsid w:val="4CC87141"/>
    <w:rsid w:val="4CCD70F0"/>
    <w:rsid w:val="4CCE79E7"/>
    <w:rsid w:val="4CCF19B1"/>
    <w:rsid w:val="4CCF542E"/>
    <w:rsid w:val="4CD44C91"/>
    <w:rsid w:val="4CDB2BC4"/>
    <w:rsid w:val="4CE77624"/>
    <w:rsid w:val="4CF172D7"/>
    <w:rsid w:val="4CF17B79"/>
    <w:rsid w:val="4CF37294"/>
    <w:rsid w:val="4CF66F3E"/>
    <w:rsid w:val="4CF81DE8"/>
    <w:rsid w:val="4CF84A64"/>
    <w:rsid w:val="4CF907DC"/>
    <w:rsid w:val="4CF920F2"/>
    <w:rsid w:val="4CFA2832"/>
    <w:rsid w:val="4CFA6DE1"/>
    <w:rsid w:val="4CFB6302"/>
    <w:rsid w:val="4CFB76C2"/>
    <w:rsid w:val="4D01600E"/>
    <w:rsid w:val="4D027104"/>
    <w:rsid w:val="4D040842"/>
    <w:rsid w:val="4D056CBE"/>
    <w:rsid w:val="4D0642AB"/>
    <w:rsid w:val="4D0A5F2D"/>
    <w:rsid w:val="4D0F77D6"/>
    <w:rsid w:val="4D155616"/>
    <w:rsid w:val="4D1A6E9F"/>
    <w:rsid w:val="4D1C27BA"/>
    <w:rsid w:val="4D203FBB"/>
    <w:rsid w:val="4D2A6BE7"/>
    <w:rsid w:val="4D2F0E80"/>
    <w:rsid w:val="4D404093"/>
    <w:rsid w:val="4D49246C"/>
    <w:rsid w:val="4D4E28D6"/>
    <w:rsid w:val="4D563357"/>
    <w:rsid w:val="4D565C2E"/>
    <w:rsid w:val="4D5A0542"/>
    <w:rsid w:val="4D602609"/>
    <w:rsid w:val="4D631754"/>
    <w:rsid w:val="4D661DF0"/>
    <w:rsid w:val="4D6B4172"/>
    <w:rsid w:val="4D700A9E"/>
    <w:rsid w:val="4D721869"/>
    <w:rsid w:val="4D754306"/>
    <w:rsid w:val="4D7B5587"/>
    <w:rsid w:val="4D862070"/>
    <w:rsid w:val="4D907392"/>
    <w:rsid w:val="4D93478D"/>
    <w:rsid w:val="4D970DD2"/>
    <w:rsid w:val="4D9A3C2A"/>
    <w:rsid w:val="4DA27725"/>
    <w:rsid w:val="4DA334D3"/>
    <w:rsid w:val="4DA54D87"/>
    <w:rsid w:val="4DA5572A"/>
    <w:rsid w:val="4DAE15C6"/>
    <w:rsid w:val="4DAF02EA"/>
    <w:rsid w:val="4DAF7C6B"/>
    <w:rsid w:val="4DB03590"/>
    <w:rsid w:val="4DB33668"/>
    <w:rsid w:val="4DBC4901"/>
    <w:rsid w:val="4DBF250C"/>
    <w:rsid w:val="4DC5749E"/>
    <w:rsid w:val="4DC87C1B"/>
    <w:rsid w:val="4DC95567"/>
    <w:rsid w:val="4DD23507"/>
    <w:rsid w:val="4DD34ABA"/>
    <w:rsid w:val="4DDC55C9"/>
    <w:rsid w:val="4DDD748B"/>
    <w:rsid w:val="4DDF0B2F"/>
    <w:rsid w:val="4DDF3E76"/>
    <w:rsid w:val="4DE833C6"/>
    <w:rsid w:val="4DF65B6A"/>
    <w:rsid w:val="4DFF62D6"/>
    <w:rsid w:val="4E07103C"/>
    <w:rsid w:val="4E086F29"/>
    <w:rsid w:val="4E1131DB"/>
    <w:rsid w:val="4E144363"/>
    <w:rsid w:val="4E1F7722"/>
    <w:rsid w:val="4E213EE1"/>
    <w:rsid w:val="4E213F3E"/>
    <w:rsid w:val="4E2765A8"/>
    <w:rsid w:val="4E3667E2"/>
    <w:rsid w:val="4E3F137D"/>
    <w:rsid w:val="4E403942"/>
    <w:rsid w:val="4E471E75"/>
    <w:rsid w:val="4E4F6905"/>
    <w:rsid w:val="4E5013D3"/>
    <w:rsid w:val="4E58042C"/>
    <w:rsid w:val="4E5834DE"/>
    <w:rsid w:val="4E604FB7"/>
    <w:rsid w:val="4E616639"/>
    <w:rsid w:val="4E632401"/>
    <w:rsid w:val="4E692C4D"/>
    <w:rsid w:val="4E69749D"/>
    <w:rsid w:val="4E6D3230"/>
    <w:rsid w:val="4E6F3528"/>
    <w:rsid w:val="4E822C4E"/>
    <w:rsid w:val="4E847A09"/>
    <w:rsid w:val="4E850579"/>
    <w:rsid w:val="4E954964"/>
    <w:rsid w:val="4E9D64B6"/>
    <w:rsid w:val="4E9E5ADF"/>
    <w:rsid w:val="4EB6244E"/>
    <w:rsid w:val="4EBF77EC"/>
    <w:rsid w:val="4EC2397A"/>
    <w:rsid w:val="4ED25E5C"/>
    <w:rsid w:val="4ED43A65"/>
    <w:rsid w:val="4EDE412D"/>
    <w:rsid w:val="4EDF77A8"/>
    <w:rsid w:val="4EEE4370"/>
    <w:rsid w:val="4EF86D49"/>
    <w:rsid w:val="4EFB4CDF"/>
    <w:rsid w:val="4F0362BC"/>
    <w:rsid w:val="4F254D03"/>
    <w:rsid w:val="4F2A522D"/>
    <w:rsid w:val="4F2C0779"/>
    <w:rsid w:val="4F2C697F"/>
    <w:rsid w:val="4F3A3814"/>
    <w:rsid w:val="4F3D0DEA"/>
    <w:rsid w:val="4F440F60"/>
    <w:rsid w:val="4F4E1C1B"/>
    <w:rsid w:val="4F5B752C"/>
    <w:rsid w:val="4F5D6A8E"/>
    <w:rsid w:val="4F646524"/>
    <w:rsid w:val="4F674123"/>
    <w:rsid w:val="4F6A776F"/>
    <w:rsid w:val="4F797711"/>
    <w:rsid w:val="4F7A20A8"/>
    <w:rsid w:val="4F806F93"/>
    <w:rsid w:val="4F8135A0"/>
    <w:rsid w:val="4F9B0908"/>
    <w:rsid w:val="4F9F7A87"/>
    <w:rsid w:val="4FA15887"/>
    <w:rsid w:val="4FAE58AE"/>
    <w:rsid w:val="4FC24789"/>
    <w:rsid w:val="4FCB10AA"/>
    <w:rsid w:val="4FD37BEB"/>
    <w:rsid w:val="4FDB38FC"/>
    <w:rsid w:val="4FE237A9"/>
    <w:rsid w:val="4FE83E88"/>
    <w:rsid w:val="4FF26FDF"/>
    <w:rsid w:val="4FFC3513"/>
    <w:rsid w:val="50097142"/>
    <w:rsid w:val="50264673"/>
    <w:rsid w:val="50291307"/>
    <w:rsid w:val="503923A2"/>
    <w:rsid w:val="503B3D74"/>
    <w:rsid w:val="503B5F97"/>
    <w:rsid w:val="50427195"/>
    <w:rsid w:val="5043693E"/>
    <w:rsid w:val="5049087C"/>
    <w:rsid w:val="504B75A0"/>
    <w:rsid w:val="50512CAA"/>
    <w:rsid w:val="5060129E"/>
    <w:rsid w:val="50687B56"/>
    <w:rsid w:val="506D46A1"/>
    <w:rsid w:val="507054CE"/>
    <w:rsid w:val="50792360"/>
    <w:rsid w:val="507B60D8"/>
    <w:rsid w:val="50806572"/>
    <w:rsid w:val="50827466"/>
    <w:rsid w:val="50853DAE"/>
    <w:rsid w:val="50874A7C"/>
    <w:rsid w:val="50955BAB"/>
    <w:rsid w:val="50984E41"/>
    <w:rsid w:val="50997EAA"/>
    <w:rsid w:val="509B7A1A"/>
    <w:rsid w:val="509D7D32"/>
    <w:rsid w:val="50A56CB1"/>
    <w:rsid w:val="50A714BB"/>
    <w:rsid w:val="50AB5BB3"/>
    <w:rsid w:val="50BC14BC"/>
    <w:rsid w:val="50BD049E"/>
    <w:rsid w:val="50C06CC5"/>
    <w:rsid w:val="50C548E5"/>
    <w:rsid w:val="50C90718"/>
    <w:rsid w:val="50CA4969"/>
    <w:rsid w:val="50CE1EDD"/>
    <w:rsid w:val="50D54F82"/>
    <w:rsid w:val="50D70AD3"/>
    <w:rsid w:val="50DD28EE"/>
    <w:rsid w:val="50E35A2B"/>
    <w:rsid w:val="50EB4BD8"/>
    <w:rsid w:val="50EB4FA6"/>
    <w:rsid w:val="50F25C6E"/>
    <w:rsid w:val="50F30CD3"/>
    <w:rsid w:val="51027164"/>
    <w:rsid w:val="510C433A"/>
    <w:rsid w:val="51120FFB"/>
    <w:rsid w:val="511512AF"/>
    <w:rsid w:val="511E595C"/>
    <w:rsid w:val="51206BF9"/>
    <w:rsid w:val="51273B6A"/>
    <w:rsid w:val="512F2A1E"/>
    <w:rsid w:val="51362176"/>
    <w:rsid w:val="51372A2F"/>
    <w:rsid w:val="51383CFE"/>
    <w:rsid w:val="513E14E0"/>
    <w:rsid w:val="51404C2B"/>
    <w:rsid w:val="51453FF0"/>
    <w:rsid w:val="514B2973"/>
    <w:rsid w:val="51597A9B"/>
    <w:rsid w:val="51646B6C"/>
    <w:rsid w:val="516646CA"/>
    <w:rsid w:val="516721B8"/>
    <w:rsid w:val="516A1CA8"/>
    <w:rsid w:val="516C5EF8"/>
    <w:rsid w:val="516F50AD"/>
    <w:rsid w:val="51701A09"/>
    <w:rsid w:val="51786173"/>
    <w:rsid w:val="51872763"/>
    <w:rsid w:val="51915487"/>
    <w:rsid w:val="51915929"/>
    <w:rsid w:val="51954A44"/>
    <w:rsid w:val="519B6306"/>
    <w:rsid w:val="51A0391C"/>
    <w:rsid w:val="51A1603E"/>
    <w:rsid w:val="51A76A58"/>
    <w:rsid w:val="51AB6221"/>
    <w:rsid w:val="51B51AAA"/>
    <w:rsid w:val="51B65CE0"/>
    <w:rsid w:val="51BB2504"/>
    <w:rsid w:val="51C51B30"/>
    <w:rsid w:val="51D938AB"/>
    <w:rsid w:val="51DD247A"/>
    <w:rsid w:val="51E56036"/>
    <w:rsid w:val="51E86BED"/>
    <w:rsid w:val="51EA0E67"/>
    <w:rsid w:val="51EE0B2B"/>
    <w:rsid w:val="51F323FB"/>
    <w:rsid w:val="51F4379C"/>
    <w:rsid w:val="51F60245"/>
    <w:rsid w:val="5200658B"/>
    <w:rsid w:val="520143BB"/>
    <w:rsid w:val="52055366"/>
    <w:rsid w:val="520837B2"/>
    <w:rsid w:val="520C009A"/>
    <w:rsid w:val="520C318F"/>
    <w:rsid w:val="5212481A"/>
    <w:rsid w:val="52147EA2"/>
    <w:rsid w:val="521565A0"/>
    <w:rsid w:val="521E4638"/>
    <w:rsid w:val="522204CB"/>
    <w:rsid w:val="522A0D13"/>
    <w:rsid w:val="522E4612"/>
    <w:rsid w:val="52344790"/>
    <w:rsid w:val="52374280"/>
    <w:rsid w:val="523B3CFA"/>
    <w:rsid w:val="523F1727"/>
    <w:rsid w:val="524578F3"/>
    <w:rsid w:val="525070F0"/>
    <w:rsid w:val="525210BA"/>
    <w:rsid w:val="525A3ACB"/>
    <w:rsid w:val="52602FB9"/>
    <w:rsid w:val="52685D02"/>
    <w:rsid w:val="527056E5"/>
    <w:rsid w:val="5277403D"/>
    <w:rsid w:val="52777F0C"/>
    <w:rsid w:val="527D0175"/>
    <w:rsid w:val="52811492"/>
    <w:rsid w:val="52826AEB"/>
    <w:rsid w:val="528B28AC"/>
    <w:rsid w:val="528D3B01"/>
    <w:rsid w:val="52917C21"/>
    <w:rsid w:val="529712F8"/>
    <w:rsid w:val="529E4EC6"/>
    <w:rsid w:val="529F359A"/>
    <w:rsid w:val="52A631B4"/>
    <w:rsid w:val="52B07B8F"/>
    <w:rsid w:val="52BB6AD0"/>
    <w:rsid w:val="52C0265C"/>
    <w:rsid w:val="52C11D9C"/>
    <w:rsid w:val="52CD24EF"/>
    <w:rsid w:val="52CF270B"/>
    <w:rsid w:val="52D802DB"/>
    <w:rsid w:val="52DE26D4"/>
    <w:rsid w:val="52DE64AA"/>
    <w:rsid w:val="52F33C57"/>
    <w:rsid w:val="52F9276A"/>
    <w:rsid w:val="52F932E4"/>
    <w:rsid w:val="52FE5CD2"/>
    <w:rsid w:val="53040581"/>
    <w:rsid w:val="53061A90"/>
    <w:rsid w:val="53177C0E"/>
    <w:rsid w:val="53237208"/>
    <w:rsid w:val="533244FD"/>
    <w:rsid w:val="5334256E"/>
    <w:rsid w:val="53354356"/>
    <w:rsid w:val="533802B0"/>
    <w:rsid w:val="53390F55"/>
    <w:rsid w:val="534353CC"/>
    <w:rsid w:val="53445655"/>
    <w:rsid w:val="534F0156"/>
    <w:rsid w:val="53514F3F"/>
    <w:rsid w:val="535618E7"/>
    <w:rsid w:val="535B3F9E"/>
    <w:rsid w:val="535B7B30"/>
    <w:rsid w:val="535E75EB"/>
    <w:rsid w:val="53611F1F"/>
    <w:rsid w:val="53620E89"/>
    <w:rsid w:val="536B2B86"/>
    <w:rsid w:val="53731942"/>
    <w:rsid w:val="537B1DF8"/>
    <w:rsid w:val="53822BE3"/>
    <w:rsid w:val="53870B97"/>
    <w:rsid w:val="538C5F06"/>
    <w:rsid w:val="538F1376"/>
    <w:rsid w:val="53971D3B"/>
    <w:rsid w:val="539B439B"/>
    <w:rsid w:val="53A07872"/>
    <w:rsid w:val="53B8319F"/>
    <w:rsid w:val="53BE6FFD"/>
    <w:rsid w:val="53C40604"/>
    <w:rsid w:val="53C5619E"/>
    <w:rsid w:val="53E06252"/>
    <w:rsid w:val="53E421E6"/>
    <w:rsid w:val="53F01DB8"/>
    <w:rsid w:val="53F1798D"/>
    <w:rsid w:val="53F266B1"/>
    <w:rsid w:val="53FA5565"/>
    <w:rsid w:val="540006A2"/>
    <w:rsid w:val="54100341"/>
    <w:rsid w:val="54106B37"/>
    <w:rsid w:val="54123B14"/>
    <w:rsid w:val="5418027B"/>
    <w:rsid w:val="5424008A"/>
    <w:rsid w:val="542E2372"/>
    <w:rsid w:val="543673C4"/>
    <w:rsid w:val="54387E3C"/>
    <w:rsid w:val="543947A3"/>
    <w:rsid w:val="544426A6"/>
    <w:rsid w:val="545128E8"/>
    <w:rsid w:val="54554D7C"/>
    <w:rsid w:val="54653A5E"/>
    <w:rsid w:val="546657DF"/>
    <w:rsid w:val="54684BC5"/>
    <w:rsid w:val="547B6B31"/>
    <w:rsid w:val="547F26AA"/>
    <w:rsid w:val="548117E3"/>
    <w:rsid w:val="54815217"/>
    <w:rsid w:val="548F5886"/>
    <w:rsid w:val="549429A2"/>
    <w:rsid w:val="54947768"/>
    <w:rsid w:val="549816AA"/>
    <w:rsid w:val="549E7943"/>
    <w:rsid w:val="54AC2925"/>
    <w:rsid w:val="54B35714"/>
    <w:rsid w:val="54BA568B"/>
    <w:rsid w:val="54BF2FC0"/>
    <w:rsid w:val="54C142D5"/>
    <w:rsid w:val="54CA13DC"/>
    <w:rsid w:val="54CF34BD"/>
    <w:rsid w:val="54D36FD9"/>
    <w:rsid w:val="54D62E69"/>
    <w:rsid w:val="54DA1925"/>
    <w:rsid w:val="54EC340B"/>
    <w:rsid w:val="54F10CE1"/>
    <w:rsid w:val="54FD56ED"/>
    <w:rsid w:val="550348EE"/>
    <w:rsid w:val="5506283A"/>
    <w:rsid w:val="550A407F"/>
    <w:rsid w:val="550C2BE1"/>
    <w:rsid w:val="55125282"/>
    <w:rsid w:val="55153E42"/>
    <w:rsid w:val="5531169A"/>
    <w:rsid w:val="553B3C20"/>
    <w:rsid w:val="553B67E1"/>
    <w:rsid w:val="5540344C"/>
    <w:rsid w:val="554176AA"/>
    <w:rsid w:val="55457650"/>
    <w:rsid w:val="554C3930"/>
    <w:rsid w:val="555E48BF"/>
    <w:rsid w:val="55705694"/>
    <w:rsid w:val="55737C83"/>
    <w:rsid w:val="55742431"/>
    <w:rsid w:val="55780E38"/>
    <w:rsid w:val="55853555"/>
    <w:rsid w:val="55865D18"/>
    <w:rsid w:val="558E283E"/>
    <w:rsid w:val="558E45F1"/>
    <w:rsid w:val="558F1CDD"/>
    <w:rsid w:val="559572D8"/>
    <w:rsid w:val="55A35789"/>
    <w:rsid w:val="55AC3A17"/>
    <w:rsid w:val="55B300C2"/>
    <w:rsid w:val="55B61216"/>
    <w:rsid w:val="55BD502A"/>
    <w:rsid w:val="55BF5E5B"/>
    <w:rsid w:val="55CD4F79"/>
    <w:rsid w:val="55CD7BCA"/>
    <w:rsid w:val="55D34A2A"/>
    <w:rsid w:val="55D44E26"/>
    <w:rsid w:val="55D5591F"/>
    <w:rsid w:val="55E57AF6"/>
    <w:rsid w:val="55E66A1B"/>
    <w:rsid w:val="55E96AE7"/>
    <w:rsid w:val="55EF6A29"/>
    <w:rsid w:val="55F4279C"/>
    <w:rsid w:val="55F935FB"/>
    <w:rsid w:val="55FC3817"/>
    <w:rsid w:val="560721BC"/>
    <w:rsid w:val="56094D75"/>
    <w:rsid w:val="560A53F4"/>
    <w:rsid w:val="5612303A"/>
    <w:rsid w:val="56127C8C"/>
    <w:rsid w:val="56252650"/>
    <w:rsid w:val="562B5EAA"/>
    <w:rsid w:val="563B259A"/>
    <w:rsid w:val="563D7229"/>
    <w:rsid w:val="563E4E11"/>
    <w:rsid w:val="5642409A"/>
    <w:rsid w:val="56435F3C"/>
    <w:rsid w:val="56437E4A"/>
    <w:rsid w:val="564A11CE"/>
    <w:rsid w:val="5651115B"/>
    <w:rsid w:val="5654148F"/>
    <w:rsid w:val="56551E7C"/>
    <w:rsid w:val="565546C1"/>
    <w:rsid w:val="56586CD8"/>
    <w:rsid w:val="565D002E"/>
    <w:rsid w:val="566118CC"/>
    <w:rsid w:val="5664316A"/>
    <w:rsid w:val="566969D2"/>
    <w:rsid w:val="566E00AC"/>
    <w:rsid w:val="566F03E1"/>
    <w:rsid w:val="56711268"/>
    <w:rsid w:val="567B29E2"/>
    <w:rsid w:val="56826DF8"/>
    <w:rsid w:val="56842916"/>
    <w:rsid w:val="568578F8"/>
    <w:rsid w:val="568676E8"/>
    <w:rsid w:val="568C2993"/>
    <w:rsid w:val="569A6B8C"/>
    <w:rsid w:val="56A059FF"/>
    <w:rsid w:val="56A24FF3"/>
    <w:rsid w:val="56B40756"/>
    <w:rsid w:val="56B61904"/>
    <w:rsid w:val="56BD68D1"/>
    <w:rsid w:val="56C05407"/>
    <w:rsid w:val="56C46B28"/>
    <w:rsid w:val="56CA3042"/>
    <w:rsid w:val="56CF2CD9"/>
    <w:rsid w:val="56CF5F71"/>
    <w:rsid w:val="56D03FD5"/>
    <w:rsid w:val="56D449D1"/>
    <w:rsid w:val="56DD1E0E"/>
    <w:rsid w:val="56E67A9F"/>
    <w:rsid w:val="56F05E0A"/>
    <w:rsid w:val="56FD4E50"/>
    <w:rsid w:val="56FE019A"/>
    <w:rsid w:val="57055C0C"/>
    <w:rsid w:val="57077693"/>
    <w:rsid w:val="570C4C73"/>
    <w:rsid w:val="57154464"/>
    <w:rsid w:val="572044C3"/>
    <w:rsid w:val="57236B81"/>
    <w:rsid w:val="57245B07"/>
    <w:rsid w:val="5725417C"/>
    <w:rsid w:val="57344863"/>
    <w:rsid w:val="57364B06"/>
    <w:rsid w:val="573B211D"/>
    <w:rsid w:val="573D11FA"/>
    <w:rsid w:val="574353A8"/>
    <w:rsid w:val="574E0C6C"/>
    <w:rsid w:val="57566F57"/>
    <w:rsid w:val="57596D8F"/>
    <w:rsid w:val="57630B4C"/>
    <w:rsid w:val="576B5C7F"/>
    <w:rsid w:val="576C677A"/>
    <w:rsid w:val="576F5F34"/>
    <w:rsid w:val="576F682D"/>
    <w:rsid w:val="577300B7"/>
    <w:rsid w:val="57762B95"/>
    <w:rsid w:val="577B2EAC"/>
    <w:rsid w:val="578109AF"/>
    <w:rsid w:val="57824746"/>
    <w:rsid w:val="57853398"/>
    <w:rsid w:val="578C54C5"/>
    <w:rsid w:val="579161E1"/>
    <w:rsid w:val="57947A7F"/>
    <w:rsid w:val="57966FDA"/>
    <w:rsid w:val="57A42FAF"/>
    <w:rsid w:val="57A71560"/>
    <w:rsid w:val="57A9214A"/>
    <w:rsid w:val="57A95909"/>
    <w:rsid w:val="57AD191D"/>
    <w:rsid w:val="57AE0D20"/>
    <w:rsid w:val="57AF2B0B"/>
    <w:rsid w:val="57BA0AA1"/>
    <w:rsid w:val="57C60341"/>
    <w:rsid w:val="57C61AAD"/>
    <w:rsid w:val="57C77E54"/>
    <w:rsid w:val="57CD3CFF"/>
    <w:rsid w:val="57CF6D09"/>
    <w:rsid w:val="57D624DC"/>
    <w:rsid w:val="57D77E09"/>
    <w:rsid w:val="57DC7689"/>
    <w:rsid w:val="57E26A3C"/>
    <w:rsid w:val="57EE2582"/>
    <w:rsid w:val="57F10D21"/>
    <w:rsid w:val="57F31C4C"/>
    <w:rsid w:val="57F774C2"/>
    <w:rsid w:val="57F91D51"/>
    <w:rsid w:val="580609D5"/>
    <w:rsid w:val="58125365"/>
    <w:rsid w:val="581403C5"/>
    <w:rsid w:val="581D1BFC"/>
    <w:rsid w:val="582232DD"/>
    <w:rsid w:val="582A3F3F"/>
    <w:rsid w:val="58311772"/>
    <w:rsid w:val="5833642D"/>
    <w:rsid w:val="583B0517"/>
    <w:rsid w:val="583D72E2"/>
    <w:rsid w:val="58457DE0"/>
    <w:rsid w:val="584D35F3"/>
    <w:rsid w:val="58510C0C"/>
    <w:rsid w:val="58535D55"/>
    <w:rsid w:val="58574EAB"/>
    <w:rsid w:val="585B6946"/>
    <w:rsid w:val="586C27AA"/>
    <w:rsid w:val="587F428B"/>
    <w:rsid w:val="58847301"/>
    <w:rsid w:val="58892A8D"/>
    <w:rsid w:val="588954DC"/>
    <w:rsid w:val="58900246"/>
    <w:rsid w:val="58927DEE"/>
    <w:rsid w:val="589372B9"/>
    <w:rsid w:val="58955FF6"/>
    <w:rsid w:val="5898359F"/>
    <w:rsid w:val="58985C1A"/>
    <w:rsid w:val="58997D0B"/>
    <w:rsid w:val="589B3B41"/>
    <w:rsid w:val="58A114DB"/>
    <w:rsid w:val="58A2137C"/>
    <w:rsid w:val="58A75C64"/>
    <w:rsid w:val="58AF2450"/>
    <w:rsid w:val="58B959EF"/>
    <w:rsid w:val="58C31DC3"/>
    <w:rsid w:val="58E3783B"/>
    <w:rsid w:val="59035D5F"/>
    <w:rsid w:val="590453F2"/>
    <w:rsid w:val="59050C34"/>
    <w:rsid w:val="59116EBF"/>
    <w:rsid w:val="59232545"/>
    <w:rsid w:val="59267244"/>
    <w:rsid w:val="59284923"/>
    <w:rsid w:val="592B4413"/>
    <w:rsid w:val="59365295"/>
    <w:rsid w:val="59376914"/>
    <w:rsid w:val="593779A6"/>
    <w:rsid w:val="593D120A"/>
    <w:rsid w:val="593F3A1A"/>
    <w:rsid w:val="594A2A90"/>
    <w:rsid w:val="5955323E"/>
    <w:rsid w:val="59630270"/>
    <w:rsid w:val="5975743C"/>
    <w:rsid w:val="59790584"/>
    <w:rsid w:val="597D5BC7"/>
    <w:rsid w:val="597E16FC"/>
    <w:rsid w:val="59850434"/>
    <w:rsid w:val="5986438A"/>
    <w:rsid w:val="598F7145"/>
    <w:rsid w:val="59932877"/>
    <w:rsid w:val="599F0DF4"/>
    <w:rsid w:val="59A56907"/>
    <w:rsid w:val="59A70847"/>
    <w:rsid w:val="59AC0D97"/>
    <w:rsid w:val="59B6723D"/>
    <w:rsid w:val="59BC367E"/>
    <w:rsid w:val="59C2064F"/>
    <w:rsid w:val="59C916D5"/>
    <w:rsid w:val="59CD7278"/>
    <w:rsid w:val="59D27D41"/>
    <w:rsid w:val="59DC5801"/>
    <w:rsid w:val="59DD63C3"/>
    <w:rsid w:val="59E14CE2"/>
    <w:rsid w:val="59E40D3A"/>
    <w:rsid w:val="59EB5D73"/>
    <w:rsid w:val="59EC5950"/>
    <w:rsid w:val="59EF5441"/>
    <w:rsid w:val="59F47AE4"/>
    <w:rsid w:val="59FE6EB7"/>
    <w:rsid w:val="5A032411"/>
    <w:rsid w:val="5A043A4F"/>
    <w:rsid w:val="5A0F163F"/>
    <w:rsid w:val="5A102138"/>
    <w:rsid w:val="5A132704"/>
    <w:rsid w:val="5A150D5F"/>
    <w:rsid w:val="5A154B24"/>
    <w:rsid w:val="5A157972"/>
    <w:rsid w:val="5A177A55"/>
    <w:rsid w:val="5A1B14D6"/>
    <w:rsid w:val="5A1D34D1"/>
    <w:rsid w:val="5A1E534A"/>
    <w:rsid w:val="5A1F5D26"/>
    <w:rsid w:val="5A2203E9"/>
    <w:rsid w:val="5A2A5850"/>
    <w:rsid w:val="5A2C091C"/>
    <w:rsid w:val="5A2E7D17"/>
    <w:rsid w:val="5A3C51CD"/>
    <w:rsid w:val="5A4237C2"/>
    <w:rsid w:val="5A490FF5"/>
    <w:rsid w:val="5A531981"/>
    <w:rsid w:val="5A5D23AA"/>
    <w:rsid w:val="5A5D7377"/>
    <w:rsid w:val="5A6373A0"/>
    <w:rsid w:val="5A64014E"/>
    <w:rsid w:val="5A655FA8"/>
    <w:rsid w:val="5A666654"/>
    <w:rsid w:val="5A690D4F"/>
    <w:rsid w:val="5A7314E9"/>
    <w:rsid w:val="5A816C8E"/>
    <w:rsid w:val="5A821E11"/>
    <w:rsid w:val="5A853980"/>
    <w:rsid w:val="5A897643"/>
    <w:rsid w:val="5A8E3921"/>
    <w:rsid w:val="5A98578E"/>
    <w:rsid w:val="5A992982"/>
    <w:rsid w:val="5A9C7D77"/>
    <w:rsid w:val="5AA00CBA"/>
    <w:rsid w:val="5AA56099"/>
    <w:rsid w:val="5AA61FA3"/>
    <w:rsid w:val="5AB0697E"/>
    <w:rsid w:val="5AB20948"/>
    <w:rsid w:val="5AC104C5"/>
    <w:rsid w:val="5ACF0A5C"/>
    <w:rsid w:val="5AD12767"/>
    <w:rsid w:val="5AD20FEA"/>
    <w:rsid w:val="5AD7215D"/>
    <w:rsid w:val="5AD92616"/>
    <w:rsid w:val="5AE82F00"/>
    <w:rsid w:val="5B1038C0"/>
    <w:rsid w:val="5B1A2C8F"/>
    <w:rsid w:val="5B1A64ED"/>
    <w:rsid w:val="5B1A67A1"/>
    <w:rsid w:val="5B1A6BC0"/>
    <w:rsid w:val="5B207C0F"/>
    <w:rsid w:val="5B2A2BD4"/>
    <w:rsid w:val="5B2D7FCE"/>
    <w:rsid w:val="5B323837"/>
    <w:rsid w:val="5B3255E5"/>
    <w:rsid w:val="5B360EF2"/>
    <w:rsid w:val="5B393544"/>
    <w:rsid w:val="5B3D604A"/>
    <w:rsid w:val="5B3E0FC9"/>
    <w:rsid w:val="5B405691"/>
    <w:rsid w:val="5B417FD7"/>
    <w:rsid w:val="5B432856"/>
    <w:rsid w:val="5B461090"/>
    <w:rsid w:val="5B597015"/>
    <w:rsid w:val="5B5B4AC8"/>
    <w:rsid w:val="5B6149FC"/>
    <w:rsid w:val="5B67652C"/>
    <w:rsid w:val="5B716B8B"/>
    <w:rsid w:val="5B8067A8"/>
    <w:rsid w:val="5B850A4A"/>
    <w:rsid w:val="5B8701EE"/>
    <w:rsid w:val="5B8B6CF3"/>
    <w:rsid w:val="5B8E36FB"/>
    <w:rsid w:val="5B9404C9"/>
    <w:rsid w:val="5B970AA8"/>
    <w:rsid w:val="5B973484"/>
    <w:rsid w:val="5B9C7DB6"/>
    <w:rsid w:val="5BA1276A"/>
    <w:rsid w:val="5BAD24AD"/>
    <w:rsid w:val="5BB26726"/>
    <w:rsid w:val="5BB502AE"/>
    <w:rsid w:val="5BB93F58"/>
    <w:rsid w:val="5BBE331C"/>
    <w:rsid w:val="5BC40E1D"/>
    <w:rsid w:val="5BC85F49"/>
    <w:rsid w:val="5BD41C56"/>
    <w:rsid w:val="5BD41FC1"/>
    <w:rsid w:val="5BD42B40"/>
    <w:rsid w:val="5BD57899"/>
    <w:rsid w:val="5BE031C5"/>
    <w:rsid w:val="5BE34444"/>
    <w:rsid w:val="5BEC60DC"/>
    <w:rsid w:val="5BEE52BF"/>
    <w:rsid w:val="5BF2050A"/>
    <w:rsid w:val="5BF54D48"/>
    <w:rsid w:val="5BF8219F"/>
    <w:rsid w:val="5BF94355"/>
    <w:rsid w:val="5BF96248"/>
    <w:rsid w:val="5C0A0404"/>
    <w:rsid w:val="5C0D1BAE"/>
    <w:rsid w:val="5C0D1CD6"/>
    <w:rsid w:val="5C0D7E00"/>
    <w:rsid w:val="5C1101D5"/>
    <w:rsid w:val="5C133668"/>
    <w:rsid w:val="5C1949F7"/>
    <w:rsid w:val="5C1C45D6"/>
    <w:rsid w:val="5C2D2C1C"/>
    <w:rsid w:val="5C335FAF"/>
    <w:rsid w:val="5C3B51AA"/>
    <w:rsid w:val="5C42584E"/>
    <w:rsid w:val="5C475495"/>
    <w:rsid w:val="5C4D4632"/>
    <w:rsid w:val="5C57793B"/>
    <w:rsid w:val="5C606182"/>
    <w:rsid w:val="5C645C72"/>
    <w:rsid w:val="5C6A7000"/>
    <w:rsid w:val="5C6E31CF"/>
    <w:rsid w:val="5C6F4617"/>
    <w:rsid w:val="5C70372D"/>
    <w:rsid w:val="5C8955A0"/>
    <w:rsid w:val="5C8E7193"/>
    <w:rsid w:val="5C971B20"/>
    <w:rsid w:val="5C995FB5"/>
    <w:rsid w:val="5C9C18B0"/>
    <w:rsid w:val="5C9F314E"/>
    <w:rsid w:val="5CA70254"/>
    <w:rsid w:val="5CB57195"/>
    <w:rsid w:val="5CB61C5F"/>
    <w:rsid w:val="5CBB200E"/>
    <w:rsid w:val="5CBD3A9A"/>
    <w:rsid w:val="5CBF734C"/>
    <w:rsid w:val="5CC407D2"/>
    <w:rsid w:val="5CC72F9D"/>
    <w:rsid w:val="5CC901CB"/>
    <w:rsid w:val="5CD02066"/>
    <w:rsid w:val="5CD62D7B"/>
    <w:rsid w:val="5CDD1AC9"/>
    <w:rsid w:val="5CDE58EE"/>
    <w:rsid w:val="5CE61180"/>
    <w:rsid w:val="5CF13812"/>
    <w:rsid w:val="5CF3344F"/>
    <w:rsid w:val="5CF440F1"/>
    <w:rsid w:val="5CF95962"/>
    <w:rsid w:val="5CFE00ED"/>
    <w:rsid w:val="5CFE1FCD"/>
    <w:rsid w:val="5D014009"/>
    <w:rsid w:val="5D086442"/>
    <w:rsid w:val="5D0C00B7"/>
    <w:rsid w:val="5D0E5BDE"/>
    <w:rsid w:val="5D16104A"/>
    <w:rsid w:val="5D172CE4"/>
    <w:rsid w:val="5D2673CB"/>
    <w:rsid w:val="5D2B03E0"/>
    <w:rsid w:val="5D2B49E2"/>
    <w:rsid w:val="5D2E6280"/>
    <w:rsid w:val="5D2F0197"/>
    <w:rsid w:val="5D3319A1"/>
    <w:rsid w:val="5D3E60E3"/>
    <w:rsid w:val="5D4566E6"/>
    <w:rsid w:val="5D544F02"/>
    <w:rsid w:val="5D605503"/>
    <w:rsid w:val="5D65480F"/>
    <w:rsid w:val="5D6C1807"/>
    <w:rsid w:val="5D6E48CE"/>
    <w:rsid w:val="5D845066"/>
    <w:rsid w:val="5D855C78"/>
    <w:rsid w:val="5D98155B"/>
    <w:rsid w:val="5DA0717E"/>
    <w:rsid w:val="5DAF116F"/>
    <w:rsid w:val="5DB50C85"/>
    <w:rsid w:val="5DC21AFB"/>
    <w:rsid w:val="5DC31516"/>
    <w:rsid w:val="5DC5497F"/>
    <w:rsid w:val="5DD22BAF"/>
    <w:rsid w:val="5DD41CBD"/>
    <w:rsid w:val="5DE3609E"/>
    <w:rsid w:val="5DE36C5B"/>
    <w:rsid w:val="5DE6548E"/>
    <w:rsid w:val="5DE76D53"/>
    <w:rsid w:val="5DED1414"/>
    <w:rsid w:val="5DEE1478"/>
    <w:rsid w:val="5E0A6D08"/>
    <w:rsid w:val="5E16173D"/>
    <w:rsid w:val="5E162F9C"/>
    <w:rsid w:val="5E195A70"/>
    <w:rsid w:val="5E1E04DB"/>
    <w:rsid w:val="5E1F4E18"/>
    <w:rsid w:val="5E247D93"/>
    <w:rsid w:val="5E283926"/>
    <w:rsid w:val="5E2940F5"/>
    <w:rsid w:val="5E337C42"/>
    <w:rsid w:val="5E370314"/>
    <w:rsid w:val="5E397BA0"/>
    <w:rsid w:val="5E3E0745"/>
    <w:rsid w:val="5E4653F3"/>
    <w:rsid w:val="5E496E05"/>
    <w:rsid w:val="5E510982"/>
    <w:rsid w:val="5E531852"/>
    <w:rsid w:val="5E540219"/>
    <w:rsid w:val="5E5D66BC"/>
    <w:rsid w:val="5E63268B"/>
    <w:rsid w:val="5E700AC5"/>
    <w:rsid w:val="5E743253"/>
    <w:rsid w:val="5E785A05"/>
    <w:rsid w:val="5E7E6D93"/>
    <w:rsid w:val="5E8703FF"/>
    <w:rsid w:val="5E8E5308"/>
    <w:rsid w:val="5E9D546B"/>
    <w:rsid w:val="5E9F1627"/>
    <w:rsid w:val="5EA117EB"/>
    <w:rsid w:val="5EA3193A"/>
    <w:rsid w:val="5EA52572"/>
    <w:rsid w:val="5EA97706"/>
    <w:rsid w:val="5EB34C8F"/>
    <w:rsid w:val="5EBA426F"/>
    <w:rsid w:val="5EBB346F"/>
    <w:rsid w:val="5EBF5A4F"/>
    <w:rsid w:val="5EBF783E"/>
    <w:rsid w:val="5EC51F83"/>
    <w:rsid w:val="5EC83831"/>
    <w:rsid w:val="5ECA7D70"/>
    <w:rsid w:val="5ECE0FFE"/>
    <w:rsid w:val="5ED32FCA"/>
    <w:rsid w:val="5EE035AA"/>
    <w:rsid w:val="5EE14A8D"/>
    <w:rsid w:val="5EE525C5"/>
    <w:rsid w:val="5EF25F26"/>
    <w:rsid w:val="5EF54A45"/>
    <w:rsid w:val="5EFA3DA4"/>
    <w:rsid w:val="5EFA48ED"/>
    <w:rsid w:val="5EFA4F8E"/>
    <w:rsid w:val="5F015EC1"/>
    <w:rsid w:val="5F057872"/>
    <w:rsid w:val="5F060B08"/>
    <w:rsid w:val="5F073F53"/>
    <w:rsid w:val="5F0B570B"/>
    <w:rsid w:val="5F121143"/>
    <w:rsid w:val="5F156E7F"/>
    <w:rsid w:val="5F16521D"/>
    <w:rsid w:val="5F1C1098"/>
    <w:rsid w:val="5F1E1D63"/>
    <w:rsid w:val="5F1E53A4"/>
    <w:rsid w:val="5F1F3E34"/>
    <w:rsid w:val="5F1F40D2"/>
    <w:rsid w:val="5F257533"/>
    <w:rsid w:val="5F2D4540"/>
    <w:rsid w:val="5F3502E9"/>
    <w:rsid w:val="5F490731"/>
    <w:rsid w:val="5F4A372B"/>
    <w:rsid w:val="5F4E2C09"/>
    <w:rsid w:val="5F500D97"/>
    <w:rsid w:val="5F593A88"/>
    <w:rsid w:val="5F66760E"/>
    <w:rsid w:val="5F681F1D"/>
    <w:rsid w:val="5F683CCB"/>
    <w:rsid w:val="5F745319"/>
    <w:rsid w:val="5F7670FC"/>
    <w:rsid w:val="5F782A73"/>
    <w:rsid w:val="5F8A2976"/>
    <w:rsid w:val="5F8E69D3"/>
    <w:rsid w:val="5F92197A"/>
    <w:rsid w:val="5F9808F7"/>
    <w:rsid w:val="5F9A5E4E"/>
    <w:rsid w:val="5F9C3975"/>
    <w:rsid w:val="5FA172F2"/>
    <w:rsid w:val="5FA60D41"/>
    <w:rsid w:val="5FAA4B26"/>
    <w:rsid w:val="5FAE4CE8"/>
    <w:rsid w:val="5FAF36A8"/>
    <w:rsid w:val="5FB84140"/>
    <w:rsid w:val="5FB960D2"/>
    <w:rsid w:val="5FBB77B9"/>
    <w:rsid w:val="5FBE2480"/>
    <w:rsid w:val="5FBF03BB"/>
    <w:rsid w:val="5FC33DA3"/>
    <w:rsid w:val="5FC84474"/>
    <w:rsid w:val="5FCC24AC"/>
    <w:rsid w:val="5FCF41A2"/>
    <w:rsid w:val="5FD255E8"/>
    <w:rsid w:val="5FD703DB"/>
    <w:rsid w:val="5FE13A7D"/>
    <w:rsid w:val="5FE87C91"/>
    <w:rsid w:val="5FED2CE4"/>
    <w:rsid w:val="5FED4693"/>
    <w:rsid w:val="5FF74625"/>
    <w:rsid w:val="600974C0"/>
    <w:rsid w:val="600C00AF"/>
    <w:rsid w:val="60151BC1"/>
    <w:rsid w:val="6017124D"/>
    <w:rsid w:val="601856F1"/>
    <w:rsid w:val="601A410F"/>
    <w:rsid w:val="60247391"/>
    <w:rsid w:val="60254A0E"/>
    <w:rsid w:val="60402552"/>
    <w:rsid w:val="60432042"/>
    <w:rsid w:val="6049765B"/>
    <w:rsid w:val="604E1113"/>
    <w:rsid w:val="6054424F"/>
    <w:rsid w:val="60637B4B"/>
    <w:rsid w:val="606923C2"/>
    <w:rsid w:val="606B2A3C"/>
    <w:rsid w:val="606B5C8E"/>
    <w:rsid w:val="606E6348"/>
    <w:rsid w:val="606F595D"/>
    <w:rsid w:val="6077532E"/>
    <w:rsid w:val="607E0ED1"/>
    <w:rsid w:val="607E3DEA"/>
    <w:rsid w:val="608B56AD"/>
    <w:rsid w:val="609033B4"/>
    <w:rsid w:val="609864BE"/>
    <w:rsid w:val="60A00936"/>
    <w:rsid w:val="60A24FBB"/>
    <w:rsid w:val="60A527D8"/>
    <w:rsid w:val="60A851E9"/>
    <w:rsid w:val="60A9517C"/>
    <w:rsid w:val="60B16BFF"/>
    <w:rsid w:val="60B46A9C"/>
    <w:rsid w:val="60BE0A98"/>
    <w:rsid w:val="60C211B9"/>
    <w:rsid w:val="60D45F50"/>
    <w:rsid w:val="60E22584"/>
    <w:rsid w:val="60E5229A"/>
    <w:rsid w:val="60EA552D"/>
    <w:rsid w:val="60EF5D26"/>
    <w:rsid w:val="60F17CF0"/>
    <w:rsid w:val="60F42029"/>
    <w:rsid w:val="60FA08BC"/>
    <w:rsid w:val="60FB32E0"/>
    <w:rsid w:val="60FE6B6B"/>
    <w:rsid w:val="610512D2"/>
    <w:rsid w:val="61055869"/>
    <w:rsid w:val="6106379C"/>
    <w:rsid w:val="610E54C4"/>
    <w:rsid w:val="611001C7"/>
    <w:rsid w:val="61135EB8"/>
    <w:rsid w:val="611A7273"/>
    <w:rsid w:val="611B271B"/>
    <w:rsid w:val="611D3FA0"/>
    <w:rsid w:val="61260A0F"/>
    <w:rsid w:val="612B51A7"/>
    <w:rsid w:val="612B64A2"/>
    <w:rsid w:val="612E5B5B"/>
    <w:rsid w:val="613B3F3D"/>
    <w:rsid w:val="61430C77"/>
    <w:rsid w:val="61481F33"/>
    <w:rsid w:val="614B5652"/>
    <w:rsid w:val="614C3C39"/>
    <w:rsid w:val="614C44B8"/>
    <w:rsid w:val="6150129E"/>
    <w:rsid w:val="61554CED"/>
    <w:rsid w:val="61570D74"/>
    <w:rsid w:val="61573FF7"/>
    <w:rsid w:val="61650242"/>
    <w:rsid w:val="6166248C"/>
    <w:rsid w:val="616B2973"/>
    <w:rsid w:val="616E1341"/>
    <w:rsid w:val="61700757"/>
    <w:rsid w:val="617108F3"/>
    <w:rsid w:val="617A6A25"/>
    <w:rsid w:val="617F1FE4"/>
    <w:rsid w:val="61867E28"/>
    <w:rsid w:val="619743F4"/>
    <w:rsid w:val="61A06982"/>
    <w:rsid w:val="61A570C7"/>
    <w:rsid w:val="61AE5094"/>
    <w:rsid w:val="61B6753E"/>
    <w:rsid w:val="61B829A2"/>
    <w:rsid w:val="61BE1680"/>
    <w:rsid w:val="61C660F5"/>
    <w:rsid w:val="61D86EDF"/>
    <w:rsid w:val="61E05D49"/>
    <w:rsid w:val="61E55ABD"/>
    <w:rsid w:val="61E63F92"/>
    <w:rsid w:val="61E7199A"/>
    <w:rsid w:val="61E76195"/>
    <w:rsid w:val="61EC74E9"/>
    <w:rsid w:val="61F21F72"/>
    <w:rsid w:val="61F70256"/>
    <w:rsid w:val="61F730E4"/>
    <w:rsid w:val="61F806DE"/>
    <w:rsid w:val="61F83020"/>
    <w:rsid w:val="61FF3771"/>
    <w:rsid w:val="62071672"/>
    <w:rsid w:val="6208709F"/>
    <w:rsid w:val="62141EE8"/>
    <w:rsid w:val="621C2637"/>
    <w:rsid w:val="621C2B4B"/>
    <w:rsid w:val="621C73AD"/>
    <w:rsid w:val="62326865"/>
    <w:rsid w:val="62416F03"/>
    <w:rsid w:val="62426E88"/>
    <w:rsid w:val="62456BFC"/>
    <w:rsid w:val="6256364D"/>
    <w:rsid w:val="62570027"/>
    <w:rsid w:val="62595B8A"/>
    <w:rsid w:val="625C6ABF"/>
    <w:rsid w:val="62643404"/>
    <w:rsid w:val="6267788A"/>
    <w:rsid w:val="626B71FE"/>
    <w:rsid w:val="627A3DEB"/>
    <w:rsid w:val="62831192"/>
    <w:rsid w:val="62894C96"/>
    <w:rsid w:val="628C44DC"/>
    <w:rsid w:val="628C5F22"/>
    <w:rsid w:val="62946B85"/>
    <w:rsid w:val="62976675"/>
    <w:rsid w:val="629819C2"/>
    <w:rsid w:val="62A019CE"/>
    <w:rsid w:val="62A274F4"/>
    <w:rsid w:val="62A414BE"/>
    <w:rsid w:val="62A76675"/>
    <w:rsid w:val="62A9412D"/>
    <w:rsid w:val="62B62F9F"/>
    <w:rsid w:val="62BB2364"/>
    <w:rsid w:val="62C74B48"/>
    <w:rsid w:val="62CD121F"/>
    <w:rsid w:val="62D11B87"/>
    <w:rsid w:val="62D32A26"/>
    <w:rsid w:val="62D358FF"/>
    <w:rsid w:val="62D64D57"/>
    <w:rsid w:val="62E775FD"/>
    <w:rsid w:val="62E83CA6"/>
    <w:rsid w:val="62EF221F"/>
    <w:rsid w:val="62F855CA"/>
    <w:rsid w:val="62FF66F4"/>
    <w:rsid w:val="63024A48"/>
    <w:rsid w:val="63122EAA"/>
    <w:rsid w:val="63124BF4"/>
    <w:rsid w:val="63175A39"/>
    <w:rsid w:val="631E435E"/>
    <w:rsid w:val="63251A09"/>
    <w:rsid w:val="6330199D"/>
    <w:rsid w:val="633640E0"/>
    <w:rsid w:val="63387E58"/>
    <w:rsid w:val="63520E3F"/>
    <w:rsid w:val="63544BEA"/>
    <w:rsid w:val="635D78BF"/>
    <w:rsid w:val="636A0893"/>
    <w:rsid w:val="636F4248"/>
    <w:rsid w:val="6372145A"/>
    <w:rsid w:val="6376376C"/>
    <w:rsid w:val="638E21E9"/>
    <w:rsid w:val="63925D13"/>
    <w:rsid w:val="63943F87"/>
    <w:rsid w:val="63981255"/>
    <w:rsid w:val="639F57E1"/>
    <w:rsid w:val="63A87D40"/>
    <w:rsid w:val="63A93087"/>
    <w:rsid w:val="63AB2D6C"/>
    <w:rsid w:val="63AD5D2B"/>
    <w:rsid w:val="63AF0988"/>
    <w:rsid w:val="63B52DC1"/>
    <w:rsid w:val="63B74031"/>
    <w:rsid w:val="63BA4CBD"/>
    <w:rsid w:val="63BB0CDB"/>
    <w:rsid w:val="63C35974"/>
    <w:rsid w:val="63C4349A"/>
    <w:rsid w:val="63CA5825"/>
    <w:rsid w:val="63CF2832"/>
    <w:rsid w:val="63D63FC7"/>
    <w:rsid w:val="63D731CD"/>
    <w:rsid w:val="63DC60EA"/>
    <w:rsid w:val="63DD7D63"/>
    <w:rsid w:val="63ED479F"/>
    <w:rsid w:val="63F46D29"/>
    <w:rsid w:val="63F57AA5"/>
    <w:rsid w:val="63FC2C34"/>
    <w:rsid w:val="6406185E"/>
    <w:rsid w:val="640A0EDC"/>
    <w:rsid w:val="640A791E"/>
    <w:rsid w:val="640F4998"/>
    <w:rsid w:val="64113817"/>
    <w:rsid w:val="64122457"/>
    <w:rsid w:val="64185E4F"/>
    <w:rsid w:val="6421269A"/>
    <w:rsid w:val="64267CB1"/>
    <w:rsid w:val="642A4B12"/>
    <w:rsid w:val="64331347"/>
    <w:rsid w:val="64332EA0"/>
    <w:rsid w:val="6436468B"/>
    <w:rsid w:val="64383165"/>
    <w:rsid w:val="643D32BB"/>
    <w:rsid w:val="643D497C"/>
    <w:rsid w:val="643D4CD1"/>
    <w:rsid w:val="643F3C35"/>
    <w:rsid w:val="643F7096"/>
    <w:rsid w:val="64446389"/>
    <w:rsid w:val="64584336"/>
    <w:rsid w:val="64590884"/>
    <w:rsid w:val="645A62C2"/>
    <w:rsid w:val="6462409E"/>
    <w:rsid w:val="646353FA"/>
    <w:rsid w:val="64656A2B"/>
    <w:rsid w:val="646E5E05"/>
    <w:rsid w:val="64723F9E"/>
    <w:rsid w:val="64733F9B"/>
    <w:rsid w:val="647404BD"/>
    <w:rsid w:val="6475454A"/>
    <w:rsid w:val="647B7F88"/>
    <w:rsid w:val="647E306C"/>
    <w:rsid w:val="6486074F"/>
    <w:rsid w:val="64A02E48"/>
    <w:rsid w:val="64A060C3"/>
    <w:rsid w:val="64A54544"/>
    <w:rsid w:val="64AD4EB3"/>
    <w:rsid w:val="64B1461A"/>
    <w:rsid w:val="64B87B75"/>
    <w:rsid w:val="64C07A17"/>
    <w:rsid w:val="64C33752"/>
    <w:rsid w:val="64C5571C"/>
    <w:rsid w:val="64C57FD8"/>
    <w:rsid w:val="64C9644F"/>
    <w:rsid w:val="64D140C0"/>
    <w:rsid w:val="64D72B95"/>
    <w:rsid w:val="64D94D23"/>
    <w:rsid w:val="64DA5735"/>
    <w:rsid w:val="64DB1479"/>
    <w:rsid w:val="64DD20E7"/>
    <w:rsid w:val="64DD6E48"/>
    <w:rsid w:val="64E268F6"/>
    <w:rsid w:val="64E33DF4"/>
    <w:rsid w:val="64EF247B"/>
    <w:rsid w:val="64F06748"/>
    <w:rsid w:val="64F14FE5"/>
    <w:rsid w:val="64F4474A"/>
    <w:rsid w:val="650A5824"/>
    <w:rsid w:val="651927BA"/>
    <w:rsid w:val="651A487D"/>
    <w:rsid w:val="651A6322"/>
    <w:rsid w:val="651B0E18"/>
    <w:rsid w:val="652B653A"/>
    <w:rsid w:val="6535464F"/>
    <w:rsid w:val="6536345C"/>
    <w:rsid w:val="654F3F22"/>
    <w:rsid w:val="65556AA0"/>
    <w:rsid w:val="65570B42"/>
    <w:rsid w:val="655E7DDB"/>
    <w:rsid w:val="656071F2"/>
    <w:rsid w:val="65610CD8"/>
    <w:rsid w:val="65616D6A"/>
    <w:rsid w:val="65622439"/>
    <w:rsid w:val="65627CB8"/>
    <w:rsid w:val="6565038C"/>
    <w:rsid w:val="6569254B"/>
    <w:rsid w:val="657164E4"/>
    <w:rsid w:val="65806484"/>
    <w:rsid w:val="658B4EE7"/>
    <w:rsid w:val="65902F8E"/>
    <w:rsid w:val="659732C0"/>
    <w:rsid w:val="659C46CE"/>
    <w:rsid w:val="65A01E7E"/>
    <w:rsid w:val="65A157A3"/>
    <w:rsid w:val="65AE7F5E"/>
    <w:rsid w:val="65B23EF2"/>
    <w:rsid w:val="65B25CA0"/>
    <w:rsid w:val="65BB061E"/>
    <w:rsid w:val="65BB4C18"/>
    <w:rsid w:val="65C0219F"/>
    <w:rsid w:val="65C03FF5"/>
    <w:rsid w:val="65C15D97"/>
    <w:rsid w:val="65C15EE3"/>
    <w:rsid w:val="65C329A9"/>
    <w:rsid w:val="65C91CC9"/>
    <w:rsid w:val="65E52CB2"/>
    <w:rsid w:val="65EB346C"/>
    <w:rsid w:val="65ED2AB8"/>
    <w:rsid w:val="65EE47FE"/>
    <w:rsid w:val="65EF0996"/>
    <w:rsid w:val="65F05C1B"/>
    <w:rsid w:val="65F067C8"/>
    <w:rsid w:val="65F77B57"/>
    <w:rsid w:val="65FE446C"/>
    <w:rsid w:val="65FF1F03"/>
    <w:rsid w:val="661B4913"/>
    <w:rsid w:val="66295F17"/>
    <w:rsid w:val="662B08ED"/>
    <w:rsid w:val="663743F7"/>
    <w:rsid w:val="664419DA"/>
    <w:rsid w:val="66450FCC"/>
    <w:rsid w:val="66527C9E"/>
    <w:rsid w:val="66544FA9"/>
    <w:rsid w:val="665C5C0C"/>
    <w:rsid w:val="66611474"/>
    <w:rsid w:val="66643459"/>
    <w:rsid w:val="66666353"/>
    <w:rsid w:val="66681FFF"/>
    <w:rsid w:val="66725DEB"/>
    <w:rsid w:val="667271DD"/>
    <w:rsid w:val="668319C2"/>
    <w:rsid w:val="6686174D"/>
    <w:rsid w:val="668B029F"/>
    <w:rsid w:val="668C2298"/>
    <w:rsid w:val="668C4743"/>
    <w:rsid w:val="6697393A"/>
    <w:rsid w:val="669B434B"/>
    <w:rsid w:val="669E4471"/>
    <w:rsid w:val="66A631AD"/>
    <w:rsid w:val="66AD389C"/>
    <w:rsid w:val="66AE4CA4"/>
    <w:rsid w:val="66AF3F8D"/>
    <w:rsid w:val="66B477F6"/>
    <w:rsid w:val="66BB5C3F"/>
    <w:rsid w:val="66C16873"/>
    <w:rsid w:val="66C37A39"/>
    <w:rsid w:val="66CC09A2"/>
    <w:rsid w:val="66D71736"/>
    <w:rsid w:val="66E44863"/>
    <w:rsid w:val="66EC6F90"/>
    <w:rsid w:val="66ED61A1"/>
    <w:rsid w:val="66EF6A80"/>
    <w:rsid w:val="66F10A4A"/>
    <w:rsid w:val="66F221CD"/>
    <w:rsid w:val="66F26570"/>
    <w:rsid w:val="66F355E1"/>
    <w:rsid w:val="66F619F5"/>
    <w:rsid w:val="66FD654F"/>
    <w:rsid w:val="670448A9"/>
    <w:rsid w:val="67087B42"/>
    <w:rsid w:val="670C13E0"/>
    <w:rsid w:val="67124457"/>
    <w:rsid w:val="671571E5"/>
    <w:rsid w:val="671B0DB1"/>
    <w:rsid w:val="671C3FB3"/>
    <w:rsid w:val="671E38B0"/>
    <w:rsid w:val="672B03BB"/>
    <w:rsid w:val="672C3830"/>
    <w:rsid w:val="672F1572"/>
    <w:rsid w:val="67334BBF"/>
    <w:rsid w:val="67346B89"/>
    <w:rsid w:val="67371200"/>
    <w:rsid w:val="673937F5"/>
    <w:rsid w:val="673E29E9"/>
    <w:rsid w:val="6742018D"/>
    <w:rsid w:val="67461795"/>
    <w:rsid w:val="674A1F5A"/>
    <w:rsid w:val="674F798C"/>
    <w:rsid w:val="67530E58"/>
    <w:rsid w:val="67533EAA"/>
    <w:rsid w:val="675570B2"/>
    <w:rsid w:val="67576009"/>
    <w:rsid w:val="67581B34"/>
    <w:rsid w:val="67584625"/>
    <w:rsid w:val="675A370D"/>
    <w:rsid w:val="675F3BEC"/>
    <w:rsid w:val="676A4610"/>
    <w:rsid w:val="676A4D3A"/>
    <w:rsid w:val="676B3BCF"/>
    <w:rsid w:val="676C7A43"/>
    <w:rsid w:val="67707BB6"/>
    <w:rsid w:val="6773145F"/>
    <w:rsid w:val="677B0220"/>
    <w:rsid w:val="677D1FFE"/>
    <w:rsid w:val="67807146"/>
    <w:rsid w:val="678701BB"/>
    <w:rsid w:val="67871415"/>
    <w:rsid w:val="6787315C"/>
    <w:rsid w:val="67883FEB"/>
    <w:rsid w:val="678E0201"/>
    <w:rsid w:val="67903BF4"/>
    <w:rsid w:val="679715CE"/>
    <w:rsid w:val="679A5B7A"/>
    <w:rsid w:val="679E4212"/>
    <w:rsid w:val="67A360BD"/>
    <w:rsid w:val="67A64A2B"/>
    <w:rsid w:val="67B51722"/>
    <w:rsid w:val="67B85CBE"/>
    <w:rsid w:val="67BF28F6"/>
    <w:rsid w:val="67C223E6"/>
    <w:rsid w:val="67D6069A"/>
    <w:rsid w:val="67D633E9"/>
    <w:rsid w:val="67D7639F"/>
    <w:rsid w:val="67D90C00"/>
    <w:rsid w:val="67DD4B2A"/>
    <w:rsid w:val="67E55C87"/>
    <w:rsid w:val="67E633DB"/>
    <w:rsid w:val="67EA5E9D"/>
    <w:rsid w:val="67F20383"/>
    <w:rsid w:val="67F759C2"/>
    <w:rsid w:val="67FA392E"/>
    <w:rsid w:val="68112A26"/>
    <w:rsid w:val="68142C42"/>
    <w:rsid w:val="681A7B2C"/>
    <w:rsid w:val="681C492A"/>
    <w:rsid w:val="682E5386"/>
    <w:rsid w:val="683034F6"/>
    <w:rsid w:val="683055A2"/>
    <w:rsid w:val="68333A6C"/>
    <w:rsid w:val="683926A8"/>
    <w:rsid w:val="683E6A34"/>
    <w:rsid w:val="68407F16"/>
    <w:rsid w:val="6841155D"/>
    <w:rsid w:val="684626D0"/>
    <w:rsid w:val="6848069F"/>
    <w:rsid w:val="684C657C"/>
    <w:rsid w:val="684E22D5"/>
    <w:rsid w:val="684E7441"/>
    <w:rsid w:val="685E045E"/>
    <w:rsid w:val="685F5564"/>
    <w:rsid w:val="686013D0"/>
    <w:rsid w:val="68727968"/>
    <w:rsid w:val="68796835"/>
    <w:rsid w:val="688432DC"/>
    <w:rsid w:val="688A1492"/>
    <w:rsid w:val="688D1E94"/>
    <w:rsid w:val="68914293"/>
    <w:rsid w:val="68955405"/>
    <w:rsid w:val="689C096D"/>
    <w:rsid w:val="68A4510A"/>
    <w:rsid w:val="68AB69D7"/>
    <w:rsid w:val="68AC4C8E"/>
    <w:rsid w:val="68AD5398"/>
    <w:rsid w:val="68B7537B"/>
    <w:rsid w:val="68BE7E0B"/>
    <w:rsid w:val="68C034E2"/>
    <w:rsid w:val="68C67DB3"/>
    <w:rsid w:val="68CA7005"/>
    <w:rsid w:val="68CF47A3"/>
    <w:rsid w:val="68D23D54"/>
    <w:rsid w:val="68D30981"/>
    <w:rsid w:val="68E82AF4"/>
    <w:rsid w:val="68FB7B08"/>
    <w:rsid w:val="69080673"/>
    <w:rsid w:val="690A2681"/>
    <w:rsid w:val="69124926"/>
    <w:rsid w:val="69156F4B"/>
    <w:rsid w:val="691D222F"/>
    <w:rsid w:val="691F2BFF"/>
    <w:rsid w:val="6922138F"/>
    <w:rsid w:val="69232324"/>
    <w:rsid w:val="69320EA6"/>
    <w:rsid w:val="69321E0D"/>
    <w:rsid w:val="69392BED"/>
    <w:rsid w:val="6942558D"/>
    <w:rsid w:val="6945700A"/>
    <w:rsid w:val="694806C9"/>
    <w:rsid w:val="694E3F32"/>
    <w:rsid w:val="694E5EAA"/>
    <w:rsid w:val="694F2539"/>
    <w:rsid w:val="6953779A"/>
    <w:rsid w:val="69554524"/>
    <w:rsid w:val="69594684"/>
    <w:rsid w:val="695C070F"/>
    <w:rsid w:val="69610A1B"/>
    <w:rsid w:val="696316B8"/>
    <w:rsid w:val="69707BBB"/>
    <w:rsid w:val="69780FAF"/>
    <w:rsid w:val="6979378E"/>
    <w:rsid w:val="697D00E7"/>
    <w:rsid w:val="69823BDB"/>
    <w:rsid w:val="69832C77"/>
    <w:rsid w:val="6984565B"/>
    <w:rsid w:val="699252DE"/>
    <w:rsid w:val="699F478D"/>
    <w:rsid w:val="69A463F0"/>
    <w:rsid w:val="69A5612D"/>
    <w:rsid w:val="69B073A7"/>
    <w:rsid w:val="69B43376"/>
    <w:rsid w:val="69BB48C7"/>
    <w:rsid w:val="69BC6DB1"/>
    <w:rsid w:val="69C441F4"/>
    <w:rsid w:val="69C67F6C"/>
    <w:rsid w:val="69C73CE4"/>
    <w:rsid w:val="69C97A5C"/>
    <w:rsid w:val="69CF5A33"/>
    <w:rsid w:val="69E14DA6"/>
    <w:rsid w:val="69E5416A"/>
    <w:rsid w:val="69E76134"/>
    <w:rsid w:val="69F365B0"/>
    <w:rsid w:val="69F501AE"/>
    <w:rsid w:val="69F72C7B"/>
    <w:rsid w:val="69FA26D9"/>
    <w:rsid w:val="69FD3262"/>
    <w:rsid w:val="69FD69A9"/>
    <w:rsid w:val="6A0B5951"/>
    <w:rsid w:val="6A0D0D84"/>
    <w:rsid w:val="6A0D4150"/>
    <w:rsid w:val="6A132A85"/>
    <w:rsid w:val="6A1B2D39"/>
    <w:rsid w:val="6A2069F6"/>
    <w:rsid w:val="6A363E0D"/>
    <w:rsid w:val="6A3824EC"/>
    <w:rsid w:val="6A3F742D"/>
    <w:rsid w:val="6A40308E"/>
    <w:rsid w:val="6A40447B"/>
    <w:rsid w:val="6A41142C"/>
    <w:rsid w:val="6A4209F1"/>
    <w:rsid w:val="6A465A52"/>
    <w:rsid w:val="6A4718A8"/>
    <w:rsid w:val="6A4F0C9A"/>
    <w:rsid w:val="6A502786"/>
    <w:rsid w:val="6A5D7FC6"/>
    <w:rsid w:val="6A5F4439"/>
    <w:rsid w:val="6A5F5CCB"/>
    <w:rsid w:val="6A615EE7"/>
    <w:rsid w:val="6A617C95"/>
    <w:rsid w:val="6A624813"/>
    <w:rsid w:val="6A645B93"/>
    <w:rsid w:val="6A687275"/>
    <w:rsid w:val="6A6D0165"/>
    <w:rsid w:val="6A70013D"/>
    <w:rsid w:val="6A7562D7"/>
    <w:rsid w:val="6A794F6E"/>
    <w:rsid w:val="6A7A0D56"/>
    <w:rsid w:val="6A7C4ACE"/>
    <w:rsid w:val="6A833EAB"/>
    <w:rsid w:val="6A837C0B"/>
    <w:rsid w:val="6A8F61F9"/>
    <w:rsid w:val="6A94312B"/>
    <w:rsid w:val="6A9B2E2A"/>
    <w:rsid w:val="6A9F1E8E"/>
    <w:rsid w:val="6AA50C20"/>
    <w:rsid w:val="6AAC10A4"/>
    <w:rsid w:val="6AB05323"/>
    <w:rsid w:val="6AB72D9B"/>
    <w:rsid w:val="6AB9721F"/>
    <w:rsid w:val="6AC26755"/>
    <w:rsid w:val="6ACC3540"/>
    <w:rsid w:val="6ACD7B75"/>
    <w:rsid w:val="6AD728DD"/>
    <w:rsid w:val="6ADD372F"/>
    <w:rsid w:val="6AE0505D"/>
    <w:rsid w:val="6AE43CF1"/>
    <w:rsid w:val="6AEB57B0"/>
    <w:rsid w:val="6AF44665"/>
    <w:rsid w:val="6B025230"/>
    <w:rsid w:val="6B083CCF"/>
    <w:rsid w:val="6B0B7C00"/>
    <w:rsid w:val="6B146AB5"/>
    <w:rsid w:val="6B176CCB"/>
    <w:rsid w:val="6B2672FD"/>
    <w:rsid w:val="6B2F2874"/>
    <w:rsid w:val="6B315A3D"/>
    <w:rsid w:val="6B3F62DE"/>
    <w:rsid w:val="6B521F17"/>
    <w:rsid w:val="6B5346D6"/>
    <w:rsid w:val="6B537B27"/>
    <w:rsid w:val="6B5477F9"/>
    <w:rsid w:val="6B560E7C"/>
    <w:rsid w:val="6B5C6909"/>
    <w:rsid w:val="6B642AA0"/>
    <w:rsid w:val="6B6F64EC"/>
    <w:rsid w:val="6B74502C"/>
    <w:rsid w:val="6B7E4876"/>
    <w:rsid w:val="6B826114"/>
    <w:rsid w:val="6B913C88"/>
    <w:rsid w:val="6B936372"/>
    <w:rsid w:val="6B9D2F4E"/>
    <w:rsid w:val="6B9F6960"/>
    <w:rsid w:val="6BAF67DE"/>
    <w:rsid w:val="6BBA7251"/>
    <w:rsid w:val="6BC06C3D"/>
    <w:rsid w:val="6BC47B5D"/>
    <w:rsid w:val="6BCC0836"/>
    <w:rsid w:val="6BCE3108"/>
    <w:rsid w:val="6BD821D8"/>
    <w:rsid w:val="6BD83F86"/>
    <w:rsid w:val="6BDD5F0C"/>
    <w:rsid w:val="6BDE7E58"/>
    <w:rsid w:val="6BE110B5"/>
    <w:rsid w:val="6BE24BC2"/>
    <w:rsid w:val="6BEA5A68"/>
    <w:rsid w:val="6BFA279A"/>
    <w:rsid w:val="6BFD669F"/>
    <w:rsid w:val="6BFF0BC1"/>
    <w:rsid w:val="6C032245"/>
    <w:rsid w:val="6C0552AC"/>
    <w:rsid w:val="6C0C59DE"/>
    <w:rsid w:val="6C0E2FB3"/>
    <w:rsid w:val="6C115469"/>
    <w:rsid w:val="6C1D155B"/>
    <w:rsid w:val="6C296C7F"/>
    <w:rsid w:val="6C2F4869"/>
    <w:rsid w:val="6C2F646B"/>
    <w:rsid w:val="6C3460F9"/>
    <w:rsid w:val="6C396A9F"/>
    <w:rsid w:val="6C3B6ABC"/>
    <w:rsid w:val="6C445178"/>
    <w:rsid w:val="6C452B3F"/>
    <w:rsid w:val="6C474C72"/>
    <w:rsid w:val="6C476DB9"/>
    <w:rsid w:val="6C4E537C"/>
    <w:rsid w:val="6C506213"/>
    <w:rsid w:val="6C5D11D1"/>
    <w:rsid w:val="6C647510"/>
    <w:rsid w:val="6C67530A"/>
    <w:rsid w:val="6C6A3DE4"/>
    <w:rsid w:val="6C6C5B43"/>
    <w:rsid w:val="6C7B03C9"/>
    <w:rsid w:val="6C7B0577"/>
    <w:rsid w:val="6C7C6C85"/>
    <w:rsid w:val="6C817593"/>
    <w:rsid w:val="6C875DE6"/>
    <w:rsid w:val="6C8934D3"/>
    <w:rsid w:val="6C956C99"/>
    <w:rsid w:val="6C9C3206"/>
    <w:rsid w:val="6C9F296C"/>
    <w:rsid w:val="6CA96784"/>
    <w:rsid w:val="6CAF255C"/>
    <w:rsid w:val="6CB247D7"/>
    <w:rsid w:val="6CB30550"/>
    <w:rsid w:val="6CBA368C"/>
    <w:rsid w:val="6CDC5BB5"/>
    <w:rsid w:val="6CDF38C0"/>
    <w:rsid w:val="6CE150BD"/>
    <w:rsid w:val="6CE355CB"/>
    <w:rsid w:val="6CE80314"/>
    <w:rsid w:val="6CF14019"/>
    <w:rsid w:val="6CF1608D"/>
    <w:rsid w:val="6CF24477"/>
    <w:rsid w:val="6D0442A5"/>
    <w:rsid w:val="6D052946"/>
    <w:rsid w:val="6D105DD6"/>
    <w:rsid w:val="6D142D5D"/>
    <w:rsid w:val="6D147240"/>
    <w:rsid w:val="6D164CA4"/>
    <w:rsid w:val="6D215D2E"/>
    <w:rsid w:val="6D2317C0"/>
    <w:rsid w:val="6D270C65"/>
    <w:rsid w:val="6D274F79"/>
    <w:rsid w:val="6D284A9A"/>
    <w:rsid w:val="6D2C27DC"/>
    <w:rsid w:val="6D433682"/>
    <w:rsid w:val="6D4A3F56"/>
    <w:rsid w:val="6D5621B4"/>
    <w:rsid w:val="6D594C53"/>
    <w:rsid w:val="6D5E495F"/>
    <w:rsid w:val="6D601515"/>
    <w:rsid w:val="6D605FE2"/>
    <w:rsid w:val="6D616ACE"/>
    <w:rsid w:val="6D6B5469"/>
    <w:rsid w:val="6D723F67"/>
    <w:rsid w:val="6D7B1B9D"/>
    <w:rsid w:val="6D7E3C69"/>
    <w:rsid w:val="6D827B64"/>
    <w:rsid w:val="6D842652"/>
    <w:rsid w:val="6D8F606A"/>
    <w:rsid w:val="6D9437CC"/>
    <w:rsid w:val="6D980838"/>
    <w:rsid w:val="6DA005C6"/>
    <w:rsid w:val="6DA04E50"/>
    <w:rsid w:val="6DA90D12"/>
    <w:rsid w:val="6DA93623"/>
    <w:rsid w:val="6DA97B06"/>
    <w:rsid w:val="6DB6435A"/>
    <w:rsid w:val="6DCA3DA3"/>
    <w:rsid w:val="6DCB4E10"/>
    <w:rsid w:val="6DD54E50"/>
    <w:rsid w:val="6DD62748"/>
    <w:rsid w:val="6DD71D14"/>
    <w:rsid w:val="6DD97B78"/>
    <w:rsid w:val="6DE13736"/>
    <w:rsid w:val="6DE45B61"/>
    <w:rsid w:val="6DEA1D4F"/>
    <w:rsid w:val="6DEC4D80"/>
    <w:rsid w:val="6DEF4FDB"/>
    <w:rsid w:val="6DF9408C"/>
    <w:rsid w:val="6DFB7DFD"/>
    <w:rsid w:val="6E032E11"/>
    <w:rsid w:val="6E0B5A66"/>
    <w:rsid w:val="6E0E01FD"/>
    <w:rsid w:val="6E166FE8"/>
    <w:rsid w:val="6E193773"/>
    <w:rsid w:val="6E1E4F2B"/>
    <w:rsid w:val="6E260D2E"/>
    <w:rsid w:val="6E301E58"/>
    <w:rsid w:val="6E31797E"/>
    <w:rsid w:val="6E337935"/>
    <w:rsid w:val="6E3F02ED"/>
    <w:rsid w:val="6E461615"/>
    <w:rsid w:val="6E470F4F"/>
    <w:rsid w:val="6E4A1B4B"/>
    <w:rsid w:val="6E4C2A0A"/>
    <w:rsid w:val="6E510020"/>
    <w:rsid w:val="6E645FA5"/>
    <w:rsid w:val="6E6E73C4"/>
    <w:rsid w:val="6E7023CC"/>
    <w:rsid w:val="6E722E28"/>
    <w:rsid w:val="6E775CD9"/>
    <w:rsid w:val="6E823A7F"/>
    <w:rsid w:val="6E8472F1"/>
    <w:rsid w:val="6E853669"/>
    <w:rsid w:val="6E8A33A2"/>
    <w:rsid w:val="6E900B48"/>
    <w:rsid w:val="6E9857B1"/>
    <w:rsid w:val="6E985C4F"/>
    <w:rsid w:val="6E9B1344"/>
    <w:rsid w:val="6EB163DB"/>
    <w:rsid w:val="6EC02442"/>
    <w:rsid w:val="6EC10D02"/>
    <w:rsid w:val="6ED3687D"/>
    <w:rsid w:val="6EE50F4B"/>
    <w:rsid w:val="6EEA2A6C"/>
    <w:rsid w:val="6EEC1AF4"/>
    <w:rsid w:val="6EF34DCA"/>
    <w:rsid w:val="6EF74724"/>
    <w:rsid w:val="6EFA06B8"/>
    <w:rsid w:val="6F062BB9"/>
    <w:rsid w:val="6F081134"/>
    <w:rsid w:val="6F08168B"/>
    <w:rsid w:val="6F151CE3"/>
    <w:rsid w:val="6F15447B"/>
    <w:rsid w:val="6F1A57AF"/>
    <w:rsid w:val="6F1C23DC"/>
    <w:rsid w:val="6F240401"/>
    <w:rsid w:val="6F2474E3"/>
    <w:rsid w:val="6F2A4AF9"/>
    <w:rsid w:val="6F2F2D5B"/>
    <w:rsid w:val="6F3132D6"/>
    <w:rsid w:val="6F355665"/>
    <w:rsid w:val="6F3E5FCD"/>
    <w:rsid w:val="6F4418C1"/>
    <w:rsid w:val="6F4436E1"/>
    <w:rsid w:val="6F457B85"/>
    <w:rsid w:val="6F4D6A39"/>
    <w:rsid w:val="6F542877"/>
    <w:rsid w:val="6F574178"/>
    <w:rsid w:val="6F623ECE"/>
    <w:rsid w:val="6F6A75EB"/>
    <w:rsid w:val="6F6F2422"/>
    <w:rsid w:val="6F72024E"/>
    <w:rsid w:val="6F737553"/>
    <w:rsid w:val="6F764EC2"/>
    <w:rsid w:val="6F857281"/>
    <w:rsid w:val="6F881820"/>
    <w:rsid w:val="6F9D65B5"/>
    <w:rsid w:val="6FA150CB"/>
    <w:rsid w:val="6FA67EF8"/>
    <w:rsid w:val="6FA942AC"/>
    <w:rsid w:val="6FAA748A"/>
    <w:rsid w:val="6FB42615"/>
    <w:rsid w:val="6FB87666"/>
    <w:rsid w:val="6FBE3369"/>
    <w:rsid w:val="6FC254E0"/>
    <w:rsid w:val="6FC750FB"/>
    <w:rsid w:val="6FCB1FF1"/>
    <w:rsid w:val="6FD33278"/>
    <w:rsid w:val="6FD4253C"/>
    <w:rsid w:val="6FD76303"/>
    <w:rsid w:val="6FDE09CC"/>
    <w:rsid w:val="6FDE65F0"/>
    <w:rsid w:val="6FF27E01"/>
    <w:rsid w:val="6FF670D1"/>
    <w:rsid w:val="6FF84BF7"/>
    <w:rsid w:val="6FFD220E"/>
    <w:rsid w:val="6FFE1AE2"/>
    <w:rsid w:val="6FFE4FC7"/>
    <w:rsid w:val="7004359C"/>
    <w:rsid w:val="70115CB9"/>
    <w:rsid w:val="701E2184"/>
    <w:rsid w:val="70202F02"/>
    <w:rsid w:val="702A5C47"/>
    <w:rsid w:val="703025E3"/>
    <w:rsid w:val="703379DD"/>
    <w:rsid w:val="7036127C"/>
    <w:rsid w:val="703F2EB0"/>
    <w:rsid w:val="70425E72"/>
    <w:rsid w:val="704A2B31"/>
    <w:rsid w:val="704C57A7"/>
    <w:rsid w:val="704C7282"/>
    <w:rsid w:val="704E2DD8"/>
    <w:rsid w:val="705636CC"/>
    <w:rsid w:val="706808B3"/>
    <w:rsid w:val="70700C31"/>
    <w:rsid w:val="707212ED"/>
    <w:rsid w:val="707671DE"/>
    <w:rsid w:val="707B2146"/>
    <w:rsid w:val="707E6A0E"/>
    <w:rsid w:val="707F70C6"/>
    <w:rsid w:val="70875F7B"/>
    <w:rsid w:val="70897BFE"/>
    <w:rsid w:val="70921932"/>
    <w:rsid w:val="709661BE"/>
    <w:rsid w:val="709729B0"/>
    <w:rsid w:val="70983CE4"/>
    <w:rsid w:val="7099407F"/>
    <w:rsid w:val="709B7212"/>
    <w:rsid w:val="70AB3B47"/>
    <w:rsid w:val="70AF02DF"/>
    <w:rsid w:val="70C96594"/>
    <w:rsid w:val="70D771EE"/>
    <w:rsid w:val="70DC62C7"/>
    <w:rsid w:val="70E5548B"/>
    <w:rsid w:val="70E61A3D"/>
    <w:rsid w:val="70E67E8C"/>
    <w:rsid w:val="70E76A1A"/>
    <w:rsid w:val="70E85EA2"/>
    <w:rsid w:val="70E9248D"/>
    <w:rsid w:val="70F32EA8"/>
    <w:rsid w:val="70FA4CF2"/>
    <w:rsid w:val="70FA5232"/>
    <w:rsid w:val="710D4C1D"/>
    <w:rsid w:val="710F6395"/>
    <w:rsid w:val="7112768E"/>
    <w:rsid w:val="711279E6"/>
    <w:rsid w:val="711D50CE"/>
    <w:rsid w:val="71257060"/>
    <w:rsid w:val="712832BA"/>
    <w:rsid w:val="712D027B"/>
    <w:rsid w:val="71305BCB"/>
    <w:rsid w:val="7137174F"/>
    <w:rsid w:val="713A123F"/>
    <w:rsid w:val="714269C2"/>
    <w:rsid w:val="71467BE4"/>
    <w:rsid w:val="71484274"/>
    <w:rsid w:val="714B504B"/>
    <w:rsid w:val="714C17A4"/>
    <w:rsid w:val="714C62BB"/>
    <w:rsid w:val="71517ABC"/>
    <w:rsid w:val="7157594D"/>
    <w:rsid w:val="715E4F2E"/>
    <w:rsid w:val="715F4EE1"/>
    <w:rsid w:val="7162139E"/>
    <w:rsid w:val="716245FB"/>
    <w:rsid w:val="716478A8"/>
    <w:rsid w:val="716C7EB6"/>
    <w:rsid w:val="71724D1D"/>
    <w:rsid w:val="71763E33"/>
    <w:rsid w:val="71791089"/>
    <w:rsid w:val="717B39DE"/>
    <w:rsid w:val="717B5AE0"/>
    <w:rsid w:val="71822C90"/>
    <w:rsid w:val="71870D47"/>
    <w:rsid w:val="71927ABC"/>
    <w:rsid w:val="71940950"/>
    <w:rsid w:val="719454B4"/>
    <w:rsid w:val="71961668"/>
    <w:rsid w:val="7196487C"/>
    <w:rsid w:val="71973F9C"/>
    <w:rsid w:val="71A843FB"/>
    <w:rsid w:val="71A84848"/>
    <w:rsid w:val="71B42EE9"/>
    <w:rsid w:val="71BF0CD4"/>
    <w:rsid w:val="71C07997"/>
    <w:rsid w:val="71C261E4"/>
    <w:rsid w:val="71C577AB"/>
    <w:rsid w:val="71C83CCF"/>
    <w:rsid w:val="71CD1796"/>
    <w:rsid w:val="71D8525B"/>
    <w:rsid w:val="71D86EFA"/>
    <w:rsid w:val="71DB47B1"/>
    <w:rsid w:val="71F36678"/>
    <w:rsid w:val="71F531D7"/>
    <w:rsid w:val="71FA5264"/>
    <w:rsid w:val="71FB259A"/>
    <w:rsid w:val="71FF1D0A"/>
    <w:rsid w:val="71FF3179"/>
    <w:rsid w:val="72037883"/>
    <w:rsid w:val="72062ED0"/>
    <w:rsid w:val="72074916"/>
    <w:rsid w:val="720775D1"/>
    <w:rsid w:val="720B5ACE"/>
    <w:rsid w:val="7214383E"/>
    <w:rsid w:val="72187EDC"/>
    <w:rsid w:val="72225F5B"/>
    <w:rsid w:val="722717C4"/>
    <w:rsid w:val="72281098"/>
    <w:rsid w:val="722C0263"/>
    <w:rsid w:val="722F3622"/>
    <w:rsid w:val="72347190"/>
    <w:rsid w:val="723A1FF9"/>
    <w:rsid w:val="723B573B"/>
    <w:rsid w:val="7244130C"/>
    <w:rsid w:val="72661558"/>
    <w:rsid w:val="726F4F19"/>
    <w:rsid w:val="72760055"/>
    <w:rsid w:val="727A74F6"/>
    <w:rsid w:val="727B2686"/>
    <w:rsid w:val="727C6E55"/>
    <w:rsid w:val="727E3046"/>
    <w:rsid w:val="727F515C"/>
    <w:rsid w:val="728269FA"/>
    <w:rsid w:val="72842772"/>
    <w:rsid w:val="72874010"/>
    <w:rsid w:val="72945376"/>
    <w:rsid w:val="729460E9"/>
    <w:rsid w:val="72987FCC"/>
    <w:rsid w:val="72A26EFE"/>
    <w:rsid w:val="72A2709C"/>
    <w:rsid w:val="72A45FB6"/>
    <w:rsid w:val="72A62078"/>
    <w:rsid w:val="72AA1A8F"/>
    <w:rsid w:val="72AA6BEC"/>
    <w:rsid w:val="72AE2D31"/>
    <w:rsid w:val="72B12B66"/>
    <w:rsid w:val="72B329D0"/>
    <w:rsid w:val="72B53CFF"/>
    <w:rsid w:val="72B91E38"/>
    <w:rsid w:val="72BF7C4E"/>
    <w:rsid w:val="72C45265"/>
    <w:rsid w:val="72C56DC0"/>
    <w:rsid w:val="72D76A3B"/>
    <w:rsid w:val="72DC156A"/>
    <w:rsid w:val="72DC2EB5"/>
    <w:rsid w:val="72E6342D"/>
    <w:rsid w:val="72E667CD"/>
    <w:rsid w:val="72F00391"/>
    <w:rsid w:val="72F16370"/>
    <w:rsid w:val="72F861B0"/>
    <w:rsid w:val="72FF629D"/>
    <w:rsid w:val="73057EF9"/>
    <w:rsid w:val="73071100"/>
    <w:rsid w:val="730910AD"/>
    <w:rsid w:val="730A6AB1"/>
    <w:rsid w:val="73120B1C"/>
    <w:rsid w:val="73123E35"/>
    <w:rsid w:val="73125FD0"/>
    <w:rsid w:val="73175E2D"/>
    <w:rsid w:val="731909EC"/>
    <w:rsid w:val="731C51DE"/>
    <w:rsid w:val="732128B3"/>
    <w:rsid w:val="73334198"/>
    <w:rsid w:val="733813B2"/>
    <w:rsid w:val="733F2B3D"/>
    <w:rsid w:val="734F6BB5"/>
    <w:rsid w:val="735215D1"/>
    <w:rsid w:val="73542616"/>
    <w:rsid w:val="735956FC"/>
    <w:rsid w:val="735B3122"/>
    <w:rsid w:val="73614861"/>
    <w:rsid w:val="737A3A88"/>
    <w:rsid w:val="737E5413"/>
    <w:rsid w:val="737E6887"/>
    <w:rsid w:val="737F2F3A"/>
    <w:rsid w:val="73826FF2"/>
    <w:rsid w:val="738F53D1"/>
    <w:rsid w:val="73994ACC"/>
    <w:rsid w:val="73A34E7A"/>
    <w:rsid w:val="73B40E35"/>
    <w:rsid w:val="73BC418E"/>
    <w:rsid w:val="73C474C6"/>
    <w:rsid w:val="73D00976"/>
    <w:rsid w:val="73D327E5"/>
    <w:rsid w:val="73D50336"/>
    <w:rsid w:val="73D561D8"/>
    <w:rsid w:val="73DC65DE"/>
    <w:rsid w:val="73DE2356"/>
    <w:rsid w:val="73E23F44"/>
    <w:rsid w:val="73E27B77"/>
    <w:rsid w:val="73E55C8C"/>
    <w:rsid w:val="73EA2AA9"/>
    <w:rsid w:val="73EF2747"/>
    <w:rsid w:val="73F6144E"/>
    <w:rsid w:val="7401585B"/>
    <w:rsid w:val="74045975"/>
    <w:rsid w:val="74046AF4"/>
    <w:rsid w:val="740578E3"/>
    <w:rsid w:val="74110A04"/>
    <w:rsid w:val="74184134"/>
    <w:rsid w:val="742A5788"/>
    <w:rsid w:val="74341E2C"/>
    <w:rsid w:val="743D1C12"/>
    <w:rsid w:val="74420E29"/>
    <w:rsid w:val="74486499"/>
    <w:rsid w:val="744C5846"/>
    <w:rsid w:val="744D1707"/>
    <w:rsid w:val="744F5002"/>
    <w:rsid w:val="74535EE3"/>
    <w:rsid w:val="7455380B"/>
    <w:rsid w:val="74640C47"/>
    <w:rsid w:val="74680F44"/>
    <w:rsid w:val="747B5DF7"/>
    <w:rsid w:val="747C1FF1"/>
    <w:rsid w:val="748B15DA"/>
    <w:rsid w:val="74962165"/>
    <w:rsid w:val="74980BA6"/>
    <w:rsid w:val="74992A2C"/>
    <w:rsid w:val="749D0D3D"/>
    <w:rsid w:val="74A4363A"/>
    <w:rsid w:val="74A569D0"/>
    <w:rsid w:val="74AC5FB0"/>
    <w:rsid w:val="74B15375"/>
    <w:rsid w:val="74BE7A92"/>
    <w:rsid w:val="74C662F0"/>
    <w:rsid w:val="74C80501"/>
    <w:rsid w:val="74CA1C85"/>
    <w:rsid w:val="74DD3606"/>
    <w:rsid w:val="74DE4C7C"/>
    <w:rsid w:val="74EB7051"/>
    <w:rsid w:val="74EC45FF"/>
    <w:rsid w:val="74F27FC5"/>
    <w:rsid w:val="75011427"/>
    <w:rsid w:val="75103113"/>
    <w:rsid w:val="75104ECA"/>
    <w:rsid w:val="751340A0"/>
    <w:rsid w:val="75175177"/>
    <w:rsid w:val="75181E44"/>
    <w:rsid w:val="7519416B"/>
    <w:rsid w:val="75232716"/>
    <w:rsid w:val="75242D7E"/>
    <w:rsid w:val="75246600"/>
    <w:rsid w:val="752A6D36"/>
    <w:rsid w:val="7531334A"/>
    <w:rsid w:val="7532351A"/>
    <w:rsid w:val="75323D35"/>
    <w:rsid w:val="753773AB"/>
    <w:rsid w:val="754239FA"/>
    <w:rsid w:val="75424559"/>
    <w:rsid w:val="754961FA"/>
    <w:rsid w:val="754E7E47"/>
    <w:rsid w:val="75624FF3"/>
    <w:rsid w:val="756E3266"/>
    <w:rsid w:val="757A1C0A"/>
    <w:rsid w:val="757C7A32"/>
    <w:rsid w:val="758E3908"/>
    <w:rsid w:val="759331BC"/>
    <w:rsid w:val="75941BCC"/>
    <w:rsid w:val="75976C60"/>
    <w:rsid w:val="759A04FF"/>
    <w:rsid w:val="759D367C"/>
    <w:rsid w:val="75A53E86"/>
    <w:rsid w:val="75BB2EBB"/>
    <w:rsid w:val="75C15E43"/>
    <w:rsid w:val="75D02BF5"/>
    <w:rsid w:val="75D37A2F"/>
    <w:rsid w:val="75D6394C"/>
    <w:rsid w:val="75DC3A7D"/>
    <w:rsid w:val="75DD6EE8"/>
    <w:rsid w:val="75DE6F14"/>
    <w:rsid w:val="75E33C54"/>
    <w:rsid w:val="75E659CC"/>
    <w:rsid w:val="75ED07D0"/>
    <w:rsid w:val="75EF084A"/>
    <w:rsid w:val="75EF7FF3"/>
    <w:rsid w:val="75F43430"/>
    <w:rsid w:val="75F75951"/>
    <w:rsid w:val="75FA39AE"/>
    <w:rsid w:val="760477F4"/>
    <w:rsid w:val="760B1A49"/>
    <w:rsid w:val="7612231F"/>
    <w:rsid w:val="7613552B"/>
    <w:rsid w:val="7614493B"/>
    <w:rsid w:val="76262CB9"/>
    <w:rsid w:val="762830DA"/>
    <w:rsid w:val="762A01A3"/>
    <w:rsid w:val="762D3121"/>
    <w:rsid w:val="763927E3"/>
    <w:rsid w:val="763A1909"/>
    <w:rsid w:val="763E0B6C"/>
    <w:rsid w:val="764639B6"/>
    <w:rsid w:val="764C724D"/>
    <w:rsid w:val="764E6434"/>
    <w:rsid w:val="765305AF"/>
    <w:rsid w:val="76650F73"/>
    <w:rsid w:val="766A1D18"/>
    <w:rsid w:val="766A391D"/>
    <w:rsid w:val="766E5716"/>
    <w:rsid w:val="76757837"/>
    <w:rsid w:val="76812A7E"/>
    <w:rsid w:val="76837170"/>
    <w:rsid w:val="76851387"/>
    <w:rsid w:val="76967C6D"/>
    <w:rsid w:val="76983CF6"/>
    <w:rsid w:val="76A74C81"/>
    <w:rsid w:val="76AA12BF"/>
    <w:rsid w:val="76C80073"/>
    <w:rsid w:val="76C9109B"/>
    <w:rsid w:val="76CA1764"/>
    <w:rsid w:val="76CB3050"/>
    <w:rsid w:val="76D03489"/>
    <w:rsid w:val="76D11CFE"/>
    <w:rsid w:val="76D31F1A"/>
    <w:rsid w:val="76DD06A3"/>
    <w:rsid w:val="76DE027D"/>
    <w:rsid w:val="76E03432"/>
    <w:rsid w:val="76E539FB"/>
    <w:rsid w:val="76E65C35"/>
    <w:rsid w:val="76E738E9"/>
    <w:rsid w:val="76EE465E"/>
    <w:rsid w:val="76F866A2"/>
    <w:rsid w:val="77091135"/>
    <w:rsid w:val="770A51E6"/>
    <w:rsid w:val="7713573C"/>
    <w:rsid w:val="771D3195"/>
    <w:rsid w:val="773376AF"/>
    <w:rsid w:val="77352A49"/>
    <w:rsid w:val="77381D7D"/>
    <w:rsid w:val="773D41EA"/>
    <w:rsid w:val="77460832"/>
    <w:rsid w:val="7749692E"/>
    <w:rsid w:val="77585C1D"/>
    <w:rsid w:val="775F2253"/>
    <w:rsid w:val="77620687"/>
    <w:rsid w:val="776668EA"/>
    <w:rsid w:val="776A6F41"/>
    <w:rsid w:val="776E1C43"/>
    <w:rsid w:val="77792048"/>
    <w:rsid w:val="777C59FA"/>
    <w:rsid w:val="77881FEE"/>
    <w:rsid w:val="77887588"/>
    <w:rsid w:val="779561E8"/>
    <w:rsid w:val="77962216"/>
    <w:rsid w:val="77A13DC6"/>
    <w:rsid w:val="77A66C24"/>
    <w:rsid w:val="77A967D7"/>
    <w:rsid w:val="77AD0474"/>
    <w:rsid w:val="77B07B65"/>
    <w:rsid w:val="77B36F4B"/>
    <w:rsid w:val="77C25E33"/>
    <w:rsid w:val="77C46274"/>
    <w:rsid w:val="77C81353"/>
    <w:rsid w:val="77D5581E"/>
    <w:rsid w:val="77DA2E34"/>
    <w:rsid w:val="77E51F05"/>
    <w:rsid w:val="77F27C02"/>
    <w:rsid w:val="77F455FC"/>
    <w:rsid w:val="77F4672D"/>
    <w:rsid w:val="77F875E1"/>
    <w:rsid w:val="78034104"/>
    <w:rsid w:val="7805510A"/>
    <w:rsid w:val="7805525B"/>
    <w:rsid w:val="7810554D"/>
    <w:rsid w:val="78141230"/>
    <w:rsid w:val="7817469F"/>
    <w:rsid w:val="78212811"/>
    <w:rsid w:val="78303FD9"/>
    <w:rsid w:val="783637C8"/>
    <w:rsid w:val="783A381F"/>
    <w:rsid w:val="783C2436"/>
    <w:rsid w:val="784529A4"/>
    <w:rsid w:val="784545D0"/>
    <w:rsid w:val="784550F6"/>
    <w:rsid w:val="784E38FA"/>
    <w:rsid w:val="78533738"/>
    <w:rsid w:val="78570A97"/>
    <w:rsid w:val="785931B9"/>
    <w:rsid w:val="786A5C95"/>
    <w:rsid w:val="787212BF"/>
    <w:rsid w:val="78773BF2"/>
    <w:rsid w:val="787B0173"/>
    <w:rsid w:val="787F70F7"/>
    <w:rsid w:val="78827754"/>
    <w:rsid w:val="78843345"/>
    <w:rsid w:val="788D7EA7"/>
    <w:rsid w:val="78933A9C"/>
    <w:rsid w:val="78934244"/>
    <w:rsid w:val="78A141BE"/>
    <w:rsid w:val="78A27F87"/>
    <w:rsid w:val="78A96CC9"/>
    <w:rsid w:val="78AA6CAB"/>
    <w:rsid w:val="78AB2E6C"/>
    <w:rsid w:val="78B139DF"/>
    <w:rsid w:val="78B5188A"/>
    <w:rsid w:val="78B6363C"/>
    <w:rsid w:val="78B673FD"/>
    <w:rsid w:val="78BF4B01"/>
    <w:rsid w:val="78C23FF4"/>
    <w:rsid w:val="78C45235"/>
    <w:rsid w:val="78CD23C5"/>
    <w:rsid w:val="78DB5A92"/>
    <w:rsid w:val="78DC47C4"/>
    <w:rsid w:val="78E222F4"/>
    <w:rsid w:val="78E27DC7"/>
    <w:rsid w:val="78E33C4E"/>
    <w:rsid w:val="78F03E76"/>
    <w:rsid w:val="78F27B30"/>
    <w:rsid w:val="78FE3249"/>
    <w:rsid w:val="79026A23"/>
    <w:rsid w:val="790377E7"/>
    <w:rsid w:val="790552A8"/>
    <w:rsid w:val="79061475"/>
    <w:rsid w:val="790E3573"/>
    <w:rsid w:val="791E787D"/>
    <w:rsid w:val="7924759D"/>
    <w:rsid w:val="792C1BC9"/>
    <w:rsid w:val="79305402"/>
    <w:rsid w:val="79354C3C"/>
    <w:rsid w:val="79386064"/>
    <w:rsid w:val="79426CCF"/>
    <w:rsid w:val="7943772E"/>
    <w:rsid w:val="794D6831"/>
    <w:rsid w:val="794E40B7"/>
    <w:rsid w:val="794E7636"/>
    <w:rsid w:val="79566A82"/>
    <w:rsid w:val="795D56D4"/>
    <w:rsid w:val="795E73E5"/>
    <w:rsid w:val="796C521F"/>
    <w:rsid w:val="797E0D13"/>
    <w:rsid w:val="79870D9A"/>
    <w:rsid w:val="79933A1E"/>
    <w:rsid w:val="799533C0"/>
    <w:rsid w:val="799A336E"/>
    <w:rsid w:val="79A1230D"/>
    <w:rsid w:val="79A75FA3"/>
    <w:rsid w:val="79A82FCF"/>
    <w:rsid w:val="79A951B4"/>
    <w:rsid w:val="79AB7B31"/>
    <w:rsid w:val="79AE672F"/>
    <w:rsid w:val="79BC39DA"/>
    <w:rsid w:val="79BE0C60"/>
    <w:rsid w:val="79C118B3"/>
    <w:rsid w:val="79C278B5"/>
    <w:rsid w:val="79D02A72"/>
    <w:rsid w:val="79DC10E6"/>
    <w:rsid w:val="79DD55FF"/>
    <w:rsid w:val="79E63D12"/>
    <w:rsid w:val="79F00B9B"/>
    <w:rsid w:val="79F27693"/>
    <w:rsid w:val="79F416F7"/>
    <w:rsid w:val="7A00192D"/>
    <w:rsid w:val="7A002A58"/>
    <w:rsid w:val="7A087AD3"/>
    <w:rsid w:val="7A0C1182"/>
    <w:rsid w:val="7A0E3D96"/>
    <w:rsid w:val="7A0F20E9"/>
    <w:rsid w:val="7A116E46"/>
    <w:rsid w:val="7A11739D"/>
    <w:rsid w:val="7A19721D"/>
    <w:rsid w:val="7A1A5D2B"/>
    <w:rsid w:val="7A1C34C9"/>
    <w:rsid w:val="7A315441"/>
    <w:rsid w:val="7A3C00F9"/>
    <w:rsid w:val="7A3D43AC"/>
    <w:rsid w:val="7A496F79"/>
    <w:rsid w:val="7A547BED"/>
    <w:rsid w:val="7A5A3855"/>
    <w:rsid w:val="7A644919"/>
    <w:rsid w:val="7A684727"/>
    <w:rsid w:val="7A6D1D3E"/>
    <w:rsid w:val="7A6D2E1D"/>
    <w:rsid w:val="7A761901"/>
    <w:rsid w:val="7A783DCE"/>
    <w:rsid w:val="7A7B6534"/>
    <w:rsid w:val="7A7F5152"/>
    <w:rsid w:val="7A847545"/>
    <w:rsid w:val="7A85603D"/>
    <w:rsid w:val="7A8F43AA"/>
    <w:rsid w:val="7A920423"/>
    <w:rsid w:val="7AA240DD"/>
    <w:rsid w:val="7AA853DE"/>
    <w:rsid w:val="7ABE523E"/>
    <w:rsid w:val="7AC12C4A"/>
    <w:rsid w:val="7AC1704C"/>
    <w:rsid w:val="7AC82D5E"/>
    <w:rsid w:val="7ACB31B2"/>
    <w:rsid w:val="7AD15B5B"/>
    <w:rsid w:val="7AD85914"/>
    <w:rsid w:val="7AD97509"/>
    <w:rsid w:val="7ADE2C3C"/>
    <w:rsid w:val="7AF13657"/>
    <w:rsid w:val="7AF72273"/>
    <w:rsid w:val="7AF90AC1"/>
    <w:rsid w:val="7AF93E2A"/>
    <w:rsid w:val="7AFB78D5"/>
    <w:rsid w:val="7AFE47B7"/>
    <w:rsid w:val="7B01055F"/>
    <w:rsid w:val="7B012C94"/>
    <w:rsid w:val="7B0917D8"/>
    <w:rsid w:val="7B0D1D9C"/>
    <w:rsid w:val="7B0F2BAC"/>
    <w:rsid w:val="7B120866"/>
    <w:rsid w:val="7B27077D"/>
    <w:rsid w:val="7B2B56BA"/>
    <w:rsid w:val="7B2E736F"/>
    <w:rsid w:val="7B31525B"/>
    <w:rsid w:val="7B327510"/>
    <w:rsid w:val="7B3471FE"/>
    <w:rsid w:val="7B3C0F0C"/>
    <w:rsid w:val="7B446F42"/>
    <w:rsid w:val="7B450F0D"/>
    <w:rsid w:val="7B4D06D2"/>
    <w:rsid w:val="7B5F1C89"/>
    <w:rsid w:val="7B6677D0"/>
    <w:rsid w:val="7B690757"/>
    <w:rsid w:val="7B6E2619"/>
    <w:rsid w:val="7B712BDA"/>
    <w:rsid w:val="7B7166A7"/>
    <w:rsid w:val="7B731F0F"/>
    <w:rsid w:val="7B732C49"/>
    <w:rsid w:val="7B737F50"/>
    <w:rsid w:val="7B88005D"/>
    <w:rsid w:val="7B8900AC"/>
    <w:rsid w:val="7B9259DB"/>
    <w:rsid w:val="7B970DBE"/>
    <w:rsid w:val="7B9855F5"/>
    <w:rsid w:val="7B9F2EF5"/>
    <w:rsid w:val="7BA06143"/>
    <w:rsid w:val="7BA40D84"/>
    <w:rsid w:val="7BA871CD"/>
    <w:rsid w:val="7BA96F66"/>
    <w:rsid w:val="7BB2317E"/>
    <w:rsid w:val="7BB51BEE"/>
    <w:rsid w:val="7BB73BB8"/>
    <w:rsid w:val="7BB87F0B"/>
    <w:rsid w:val="7BC0478B"/>
    <w:rsid w:val="7BC142DE"/>
    <w:rsid w:val="7BC41E31"/>
    <w:rsid w:val="7BD323EB"/>
    <w:rsid w:val="7BD83B2F"/>
    <w:rsid w:val="7BD97FB0"/>
    <w:rsid w:val="7BE1649B"/>
    <w:rsid w:val="7BE165F5"/>
    <w:rsid w:val="7BE6624C"/>
    <w:rsid w:val="7BEB44B6"/>
    <w:rsid w:val="7BF1074D"/>
    <w:rsid w:val="7BF52019"/>
    <w:rsid w:val="7BF5648F"/>
    <w:rsid w:val="7BFA65BD"/>
    <w:rsid w:val="7C0B4939"/>
    <w:rsid w:val="7C1A2B1E"/>
    <w:rsid w:val="7C1D70A1"/>
    <w:rsid w:val="7C1F41E8"/>
    <w:rsid w:val="7C266648"/>
    <w:rsid w:val="7C3053F5"/>
    <w:rsid w:val="7C3352CC"/>
    <w:rsid w:val="7C356A18"/>
    <w:rsid w:val="7C3D3A29"/>
    <w:rsid w:val="7C3D68F9"/>
    <w:rsid w:val="7C4003C3"/>
    <w:rsid w:val="7C404286"/>
    <w:rsid w:val="7C434379"/>
    <w:rsid w:val="7C456945"/>
    <w:rsid w:val="7C566973"/>
    <w:rsid w:val="7C635A82"/>
    <w:rsid w:val="7C64752C"/>
    <w:rsid w:val="7C7243EB"/>
    <w:rsid w:val="7C74613E"/>
    <w:rsid w:val="7C7D364A"/>
    <w:rsid w:val="7C7F38CE"/>
    <w:rsid w:val="7C833A9B"/>
    <w:rsid w:val="7C846BD9"/>
    <w:rsid w:val="7C8B5552"/>
    <w:rsid w:val="7C8D47EE"/>
    <w:rsid w:val="7C941597"/>
    <w:rsid w:val="7C947A56"/>
    <w:rsid w:val="7C99506C"/>
    <w:rsid w:val="7C9A0299"/>
    <w:rsid w:val="7C9A5A4E"/>
    <w:rsid w:val="7CA00018"/>
    <w:rsid w:val="7CA80520"/>
    <w:rsid w:val="7CB8200F"/>
    <w:rsid w:val="7CBA58F7"/>
    <w:rsid w:val="7CC63813"/>
    <w:rsid w:val="7CC876FF"/>
    <w:rsid w:val="7CCA2772"/>
    <w:rsid w:val="7CCD11BA"/>
    <w:rsid w:val="7CCE4046"/>
    <w:rsid w:val="7CCF00C9"/>
    <w:rsid w:val="7CCF6CE0"/>
    <w:rsid w:val="7CD359A7"/>
    <w:rsid w:val="7CD51E1C"/>
    <w:rsid w:val="7CD6006E"/>
    <w:rsid w:val="7CD67161"/>
    <w:rsid w:val="7CE107C1"/>
    <w:rsid w:val="7CE97226"/>
    <w:rsid w:val="7CEC5AE4"/>
    <w:rsid w:val="7CFB5D27"/>
    <w:rsid w:val="7D00333D"/>
    <w:rsid w:val="7D080444"/>
    <w:rsid w:val="7D206EC7"/>
    <w:rsid w:val="7D235D50"/>
    <w:rsid w:val="7D27231D"/>
    <w:rsid w:val="7D2C7C8E"/>
    <w:rsid w:val="7D3112A1"/>
    <w:rsid w:val="7D321345"/>
    <w:rsid w:val="7D352AE0"/>
    <w:rsid w:val="7D3B0293"/>
    <w:rsid w:val="7D3F0C4F"/>
    <w:rsid w:val="7D4161A9"/>
    <w:rsid w:val="7D471F16"/>
    <w:rsid w:val="7D4A0A5C"/>
    <w:rsid w:val="7D533636"/>
    <w:rsid w:val="7D53381F"/>
    <w:rsid w:val="7D562F5D"/>
    <w:rsid w:val="7D584F27"/>
    <w:rsid w:val="7D5A1014"/>
    <w:rsid w:val="7D5B766D"/>
    <w:rsid w:val="7D660653"/>
    <w:rsid w:val="7D787377"/>
    <w:rsid w:val="7D7F1F60"/>
    <w:rsid w:val="7D834224"/>
    <w:rsid w:val="7D910439"/>
    <w:rsid w:val="7D9B4E14"/>
    <w:rsid w:val="7DA00D4D"/>
    <w:rsid w:val="7DA63EE4"/>
    <w:rsid w:val="7DA94CC4"/>
    <w:rsid w:val="7DAB1A52"/>
    <w:rsid w:val="7DBB244E"/>
    <w:rsid w:val="7DC87816"/>
    <w:rsid w:val="7DCE2758"/>
    <w:rsid w:val="7DD371B3"/>
    <w:rsid w:val="7DD71BA7"/>
    <w:rsid w:val="7DE467BB"/>
    <w:rsid w:val="7DEA3E93"/>
    <w:rsid w:val="7DEB2D2E"/>
    <w:rsid w:val="7E0E1A8A"/>
    <w:rsid w:val="7E1270D7"/>
    <w:rsid w:val="7E1337E8"/>
    <w:rsid w:val="7E1448F8"/>
    <w:rsid w:val="7E18628C"/>
    <w:rsid w:val="7E1A0B54"/>
    <w:rsid w:val="7E2073AA"/>
    <w:rsid w:val="7E2272E3"/>
    <w:rsid w:val="7E2527A1"/>
    <w:rsid w:val="7E2C3CBE"/>
    <w:rsid w:val="7E2F613F"/>
    <w:rsid w:val="7E323126"/>
    <w:rsid w:val="7E3419C8"/>
    <w:rsid w:val="7E400038"/>
    <w:rsid w:val="7E4055DF"/>
    <w:rsid w:val="7E442EC5"/>
    <w:rsid w:val="7E464DD1"/>
    <w:rsid w:val="7E481B02"/>
    <w:rsid w:val="7E484248"/>
    <w:rsid w:val="7E4849A7"/>
    <w:rsid w:val="7E484F9C"/>
    <w:rsid w:val="7E4C610E"/>
    <w:rsid w:val="7E4E43C7"/>
    <w:rsid w:val="7E5050BC"/>
    <w:rsid w:val="7E5075A8"/>
    <w:rsid w:val="7E510ACF"/>
    <w:rsid w:val="7E521A14"/>
    <w:rsid w:val="7E532917"/>
    <w:rsid w:val="7E597DCC"/>
    <w:rsid w:val="7E655B4E"/>
    <w:rsid w:val="7E7933A7"/>
    <w:rsid w:val="7E7B38B3"/>
    <w:rsid w:val="7E7F4735"/>
    <w:rsid w:val="7E8005B1"/>
    <w:rsid w:val="7E8835EA"/>
    <w:rsid w:val="7E886E3D"/>
    <w:rsid w:val="7E8A700F"/>
    <w:rsid w:val="7E8E47CA"/>
    <w:rsid w:val="7E8F101B"/>
    <w:rsid w:val="7E926217"/>
    <w:rsid w:val="7E9336B9"/>
    <w:rsid w:val="7E955321"/>
    <w:rsid w:val="7EA24C02"/>
    <w:rsid w:val="7EA83CB0"/>
    <w:rsid w:val="7EB14095"/>
    <w:rsid w:val="7EB83695"/>
    <w:rsid w:val="7EBA751C"/>
    <w:rsid w:val="7EC00FD6"/>
    <w:rsid w:val="7EC015B2"/>
    <w:rsid w:val="7EC02D11"/>
    <w:rsid w:val="7EC34622"/>
    <w:rsid w:val="7EC363D0"/>
    <w:rsid w:val="7EC42148"/>
    <w:rsid w:val="7ECB3710"/>
    <w:rsid w:val="7ECF746B"/>
    <w:rsid w:val="7ED13551"/>
    <w:rsid w:val="7ED24865"/>
    <w:rsid w:val="7ED45B84"/>
    <w:rsid w:val="7ED639CC"/>
    <w:rsid w:val="7ED76320"/>
    <w:rsid w:val="7ED91AFB"/>
    <w:rsid w:val="7EDE720F"/>
    <w:rsid w:val="7EEE7B04"/>
    <w:rsid w:val="7EF11E06"/>
    <w:rsid w:val="7EF6005F"/>
    <w:rsid w:val="7F0731B1"/>
    <w:rsid w:val="7F0A3FFF"/>
    <w:rsid w:val="7F0C5FC9"/>
    <w:rsid w:val="7F0F49A3"/>
    <w:rsid w:val="7F1135E0"/>
    <w:rsid w:val="7F1569C3"/>
    <w:rsid w:val="7F1C3D32"/>
    <w:rsid w:val="7F1C4477"/>
    <w:rsid w:val="7F1D01D6"/>
    <w:rsid w:val="7F2440F7"/>
    <w:rsid w:val="7F25616F"/>
    <w:rsid w:val="7F2A6505"/>
    <w:rsid w:val="7F2B639A"/>
    <w:rsid w:val="7F361753"/>
    <w:rsid w:val="7F364671"/>
    <w:rsid w:val="7F3C21E6"/>
    <w:rsid w:val="7F403EC5"/>
    <w:rsid w:val="7F4711F4"/>
    <w:rsid w:val="7F590B67"/>
    <w:rsid w:val="7F64085D"/>
    <w:rsid w:val="7F65206A"/>
    <w:rsid w:val="7F657C66"/>
    <w:rsid w:val="7F6A489E"/>
    <w:rsid w:val="7F6C4CBA"/>
    <w:rsid w:val="7F6D1DC7"/>
    <w:rsid w:val="7F731FF5"/>
    <w:rsid w:val="7F766399"/>
    <w:rsid w:val="7F7678E7"/>
    <w:rsid w:val="7F787239"/>
    <w:rsid w:val="7F826960"/>
    <w:rsid w:val="7F845417"/>
    <w:rsid w:val="7F885B4D"/>
    <w:rsid w:val="7F94133E"/>
    <w:rsid w:val="7F9739D5"/>
    <w:rsid w:val="7F990F1F"/>
    <w:rsid w:val="7F9B3AAA"/>
    <w:rsid w:val="7F9E0547"/>
    <w:rsid w:val="7FA776B3"/>
    <w:rsid w:val="7FA77AA0"/>
    <w:rsid w:val="7FAC3308"/>
    <w:rsid w:val="7FB57A15"/>
    <w:rsid w:val="7FB851E4"/>
    <w:rsid w:val="7FC8346F"/>
    <w:rsid w:val="7FCA6DEC"/>
    <w:rsid w:val="7FCB16B2"/>
    <w:rsid w:val="7FD00AFE"/>
    <w:rsid w:val="7FD0349B"/>
    <w:rsid w:val="7FD84B18"/>
    <w:rsid w:val="7FDB3377"/>
    <w:rsid w:val="7FDC5746"/>
    <w:rsid w:val="7FDD208A"/>
    <w:rsid w:val="7FE13AD2"/>
    <w:rsid w:val="7FE17456"/>
    <w:rsid w:val="7FE6227C"/>
    <w:rsid w:val="7FE93143"/>
    <w:rsid w:val="7FF92862"/>
    <w:rsid w:val="7FFA6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3"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link w:val="18"/>
    <w:qFormat/>
    <w:uiPriority w:val="9"/>
    <w:pPr>
      <w:keepNext/>
      <w:keepLines/>
      <w:spacing w:before="100" w:beforeLines="100"/>
      <w:outlineLvl w:val="0"/>
    </w:pPr>
    <w:rPr>
      <w:rFonts w:eastAsia="黑体"/>
      <w:b/>
      <w:bCs/>
      <w:kern w:val="44"/>
      <w:szCs w:val="44"/>
    </w:rPr>
  </w:style>
  <w:style w:type="paragraph" w:styleId="3">
    <w:name w:val="heading 2"/>
    <w:basedOn w:val="1"/>
    <w:next w:val="1"/>
    <w:link w:val="20"/>
    <w:unhideWhenUsed/>
    <w:qFormat/>
    <w:uiPriority w:val="9"/>
    <w:pPr>
      <w:keepNext/>
      <w:keepLines/>
      <w:spacing w:before="50" w:beforeLines="50" w:after="50" w:afterLines="50"/>
      <w:outlineLvl w:val="1"/>
    </w:pPr>
    <w:rPr>
      <w:rFonts w:eastAsia="楷体" w:cstheme="majorBidi"/>
      <w:b/>
      <w:bCs/>
      <w:szCs w:val="32"/>
    </w:rPr>
  </w:style>
  <w:style w:type="paragraph" w:styleId="4">
    <w:name w:val="heading 3"/>
    <w:basedOn w:val="1"/>
    <w:next w:val="1"/>
    <w:link w:val="19"/>
    <w:unhideWhenUsed/>
    <w:qFormat/>
    <w:uiPriority w:val="9"/>
    <w:pPr>
      <w:keepNext/>
      <w:keepLines/>
      <w:spacing w:before="50" w:beforeLines="50" w:after="50" w:afterLines="50"/>
      <w:outlineLvl w:val="2"/>
    </w:pPr>
    <w:rPr>
      <w:rFonts w:eastAsia="楷体"/>
      <w:b/>
      <w:bCs/>
      <w:szCs w:val="32"/>
    </w:rPr>
  </w:style>
  <w:style w:type="paragraph" w:styleId="5">
    <w:name w:val="heading 4"/>
    <w:basedOn w:val="1"/>
    <w:next w:val="1"/>
    <w:qFormat/>
    <w:uiPriority w:val="0"/>
    <w:pPr>
      <w:spacing w:before="10"/>
      <w:jc w:val="left"/>
      <w:outlineLvl w:val="3"/>
    </w:p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toc 3"/>
    <w:basedOn w:val="1"/>
    <w:next w:val="1"/>
    <w:qFormat/>
    <w:uiPriority w:val="39"/>
    <w:pPr>
      <w:ind w:left="840" w:leftChars="400"/>
    </w:pPr>
  </w:style>
  <w:style w:type="paragraph" w:styleId="7">
    <w:name w:val="Date"/>
    <w:basedOn w:val="1"/>
    <w:next w:val="1"/>
    <w:link w:val="23"/>
    <w:qFormat/>
    <w:uiPriority w:val="0"/>
    <w:pPr>
      <w:ind w:left="100" w:leftChars="2500"/>
    </w:pPr>
  </w:style>
  <w:style w:type="paragraph" w:styleId="8">
    <w:name w:val="footer"/>
    <w:basedOn w:val="1"/>
    <w:link w:val="24"/>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39"/>
  </w:style>
  <w:style w:type="paragraph" w:styleId="11">
    <w:name w:val="toc 2"/>
    <w:basedOn w:val="1"/>
    <w:next w:val="1"/>
    <w:qFormat/>
    <w:uiPriority w:val="39"/>
    <w:pPr>
      <w:ind w:left="420" w:leftChars="200"/>
    </w:pPr>
  </w:style>
  <w:style w:type="paragraph" w:styleId="12">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Hyperlink"/>
    <w:basedOn w:val="15"/>
    <w:unhideWhenUsed/>
    <w:qFormat/>
    <w:uiPriority w:val="99"/>
    <w:rPr>
      <w:color w:val="0563C1" w:themeColor="hyperlink"/>
      <w:u w:val="single"/>
      <w14:textFill>
        <w14:solidFill>
          <w14:schemeClr w14:val="hlink"/>
        </w14:solidFill>
      </w14:textFill>
    </w:rPr>
  </w:style>
  <w:style w:type="character" w:customStyle="1" w:styleId="18">
    <w:name w:val="标题 1 字符"/>
    <w:basedOn w:val="15"/>
    <w:link w:val="2"/>
    <w:qFormat/>
    <w:uiPriority w:val="9"/>
    <w:rPr>
      <w:rFonts w:ascii="Times New Roman" w:hAnsi="Times New Roman" w:eastAsia="黑体"/>
      <w:b/>
      <w:bCs/>
      <w:kern w:val="44"/>
      <w:sz w:val="32"/>
      <w:szCs w:val="44"/>
    </w:rPr>
  </w:style>
  <w:style w:type="character" w:customStyle="1" w:styleId="19">
    <w:name w:val="标题 3 字符"/>
    <w:basedOn w:val="15"/>
    <w:link w:val="4"/>
    <w:qFormat/>
    <w:uiPriority w:val="9"/>
    <w:rPr>
      <w:rFonts w:eastAsia="楷体"/>
      <w:b/>
      <w:bCs/>
      <w:sz w:val="32"/>
      <w:szCs w:val="32"/>
    </w:rPr>
  </w:style>
  <w:style w:type="character" w:customStyle="1" w:styleId="20">
    <w:name w:val="标题 2 字符"/>
    <w:basedOn w:val="15"/>
    <w:link w:val="3"/>
    <w:qFormat/>
    <w:uiPriority w:val="9"/>
    <w:rPr>
      <w:rFonts w:ascii="Times New Roman" w:hAnsi="Times New Roman" w:eastAsia="楷体" w:cstheme="majorBidi"/>
      <w:b/>
      <w:bCs/>
      <w:sz w:val="32"/>
      <w:szCs w:val="32"/>
    </w:rPr>
  </w:style>
  <w:style w:type="paragraph" w:customStyle="1" w:styleId="21">
    <w:name w:val="封面标题"/>
    <w:basedOn w:val="1"/>
    <w:qFormat/>
    <w:uiPriority w:val="0"/>
    <w:pPr>
      <w:jc w:val="center"/>
    </w:pPr>
    <w:rPr>
      <w:rFonts w:ascii="仿宋_GB2312" w:hAnsi="仿宋" w:eastAsia="方正小标宋简体"/>
      <w:sz w:val="44"/>
      <w:szCs w:val="32"/>
    </w:rPr>
  </w:style>
  <w:style w:type="paragraph" w:styleId="22">
    <w:name w:val="List Paragraph"/>
    <w:basedOn w:val="1"/>
    <w:qFormat/>
    <w:uiPriority w:val="99"/>
    <w:pPr>
      <w:ind w:firstLine="420"/>
    </w:pPr>
  </w:style>
  <w:style w:type="character" w:customStyle="1" w:styleId="23">
    <w:name w:val="日期 字符"/>
    <w:basedOn w:val="15"/>
    <w:link w:val="7"/>
    <w:qFormat/>
    <w:uiPriority w:val="0"/>
    <w:rPr>
      <w:rFonts w:eastAsia="仿宋_GB2312" w:cstheme="minorBidi"/>
      <w:kern w:val="2"/>
      <w:sz w:val="32"/>
      <w:szCs w:val="22"/>
    </w:rPr>
  </w:style>
  <w:style w:type="character" w:customStyle="1" w:styleId="24">
    <w:name w:val="页脚 字符"/>
    <w:basedOn w:val="15"/>
    <w:link w:val="8"/>
    <w:qFormat/>
    <w:uiPriority w:val="99"/>
    <w:rPr>
      <w:rFonts w:eastAsia="仿宋_GB2312" w:cstheme="minorBidi"/>
      <w:kern w:val="2"/>
      <w:sz w:val="18"/>
      <w:szCs w:val="22"/>
    </w:rPr>
  </w:style>
  <w:style w:type="paragraph" w:customStyle="1" w:styleId="25">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6">
    <w:name w:val="段 Char"/>
    <w:link w:val="27"/>
    <w:qFormat/>
    <w:locked/>
    <w:uiPriority w:val="0"/>
    <w:rPr>
      <w:rFonts w:ascii="宋体" w:hAnsi="宋体"/>
      <w:sz w:val="21"/>
    </w:rPr>
  </w:style>
  <w:style w:type="paragraph" w:customStyle="1" w:styleId="27">
    <w:name w:val="段"/>
    <w:link w:val="26"/>
    <w:qFormat/>
    <w:uiPriority w:val="0"/>
    <w:pPr>
      <w:tabs>
        <w:tab w:val="center" w:pos="4201"/>
        <w:tab w:val="right" w:leader="dot" w:pos="9298"/>
      </w:tabs>
      <w:autoSpaceDE w:val="0"/>
      <w:autoSpaceDN w:val="0"/>
      <w:ind w:firstLine="420" w:firstLineChars="200"/>
      <w:jc w:val="both"/>
    </w:pPr>
    <w:rPr>
      <w:rFonts w:ascii="宋体" w:hAnsi="宋体" w:eastAsia="宋体" w:cs="Times New Roman"/>
      <w:sz w:val="21"/>
      <w:lang w:val="en-US" w:eastAsia="zh-CN" w:bidi="ar-SA"/>
    </w:rPr>
  </w:style>
  <w:style w:type="paragraph" w:customStyle="1" w:styleId="28">
    <w:name w:val="正文表标题"/>
    <w:next w:val="27"/>
    <w:qFormat/>
    <w:uiPriority w:val="0"/>
    <w:pPr>
      <w:numPr>
        <w:ilvl w:val="0"/>
        <w:numId w:val="1"/>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29">
    <w:name w:val="一级条标题"/>
    <w:next w:val="27"/>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jpeg"/><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24352;&#24535;&#21326;\Desktop\&#22403;&#22334;&#28954;&#28903;&#21457;&#30005;(11.6).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24352;&#24535;&#21326;\Desktop\&#22403;&#22334;&#28954;&#28903;&#21457;&#30005;(1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elete val="1"/>
          </c:dLbls>
          <c:cat>
            <c:strRef>
              <c:f>'[垃圾焚烧发电(11.6).xlsx]Sheet3'!$A$3:$A$20</c:f>
              <c:strCache>
                <c:ptCount val="18"/>
                <c:pt idx="0">
                  <c:v>郑州</c:v>
                </c:pt>
                <c:pt idx="1">
                  <c:v>开封</c:v>
                </c:pt>
                <c:pt idx="2">
                  <c:v>洛阳</c:v>
                </c:pt>
                <c:pt idx="3">
                  <c:v>平顶山</c:v>
                </c:pt>
                <c:pt idx="4">
                  <c:v>安阳</c:v>
                </c:pt>
                <c:pt idx="5">
                  <c:v>鹤壁</c:v>
                </c:pt>
                <c:pt idx="6">
                  <c:v>新乡</c:v>
                </c:pt>
                <c:pt idx="7">
                  <c:v>焦作</c:v>
                </c:pt>
                <c:pt idx="8">
                  <c:v>濮阳</c:v>
                </c:pt>
                <c:pt idx="9">
                  <c:v>许昌</c:v>
                </c:pt>
                <c:pt idx="10">
                  <c:v>漯河</c:v>
                </c:pt>
                <c:pt idx="11">
                  <c:v>三门峡</c:v>
                </c:pt>
                <c:pt idx="12">
                  <c:v>南阳</c:v>
                </c:pt>
                <c:pt idx="13">
                  <c:v>商丘</c:v>
                </c:pt>
                <c:pt idx="14">
                  <c:v>信阳</c:v>
                </c:pt>
                <c:pt idx="15">
                  <c:v>周口</c:v>
                </c:pt>
                <c:pt idx="16">
                  <c:v>驻马店</c:v>
                </c:pt>
                <c:pt idx="17">
                  <c:v>济源</c:v>
                </c:pt>
              </c:strCache>
            </c:strRef>
          </c:cat>
          <c:val>
            <c:numRef>
              <c:f>'[垃圾焚烧发电(11.6).xlsx]Sheet3'!$D$3:$D$20</c:f>
              <c:numCache>
                <c:formatCode>General</c:formatCode>
                <c:ptCount val="18"/>
                <c:pt idx="0">
                  <c:v>10550</c:v>
                </c:pt>
                <c:pt idx="1">
                  <c:v>3450</c:v>
                </c:pt>
                <c:pt idx="2">
                  <c:v>5100</c:v>
                </c:pt>
                <c:pt idx="3">
                  <c:v>3600</c:v>
                </c:pt>
                <c:pt idx="4">
                  <c:v>3750</c:v>
                </c:pt>
                <c:pt idx="5">
                  <c:v>1000</c:v>
                </c:pt>
                <c:pt idx="6">
                  <c:v>3700</c:v>
                </c:pt>
                <c:pt idx="7">
                  <c:v>2000</c:v>
                </c:pt>
                <c:pt idx="8">
                  <c:v>2200</c:v>
                </c:pt>
                <c:pt idx="9">
                  <c:v>2250</c:v>
                </c:pt>
                <c:pt idx="10">
                  <c:v>1500</c:v>
                </c:pt>
                <c:pt idx="11">
                  <c:v>1500</c:v>
                </c:pt>
                <c:pt idx="12">
                  <c:v>4700</c:v>
                </c:pt>
                <c:pt idx="13">
                  <c:v>3950</c:v>
                </c:pt>
                <c:pt idx="14">
                  <c:v>4220</c:v>
                </c:pt>
                <c:pt idx="15">
                  <c:v>5800</c:v>
                </c:pt>
                <c:pt idx="16">
                  <c:v>4600</c:v>
                </c:pt>
                <c:pt idx="17">
                  <c:v>600</c:v>
                </c:pt>
              </c:numCache>
            </c:numRef>
          </c:val>
        </c:ser>
        <c:dLbls>
          <c:showLegendKey val="0"/>
          <c:showVal val="0"/>
          <c:showCatName val="0"/>
          <c:showSerName val="0"/>
          <c:showPercent val="0"/>
          <c:showBubbleSize val="0"/>
        </c:dLbls>
        <c:gapWidth val="219"/>
        <c:overlap val="-27"/>
        <c:axId val="783852463"/>
        <c:axId val="119507699"/>
      </c:barChart>
      <c:catAx>
        <c:axId val="78385246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9507699"/>
        <c:crosses val="autoZero"/>
        <c:auto val="1"/>
        <c:lblAlgn val="ctr"/>
        <c:lblOffset val="100"/>
        <c:noMultiLvlLbl val="0"/>
      </c:catAx>
      <c:valAx>
        <c:axId val="1195076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7838524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'[垃圾焚烧发电(11.6).xlsx]Sheet3'!$C$28</c:f>
              <c:strCache>
                <c:ptCount val="1"/>
                <c:pt idx="0">
                  <c:v>已发证企业数量</c:v>
                </c:pt>
              </c:strCache>
            </c:strRef>
          </c:tx>
          <c:spPr>
            <a:solidFill>
              <a:schemeClr val="accent1"/>
            </a:solidFill>
            <a:ln>
              <a:noFill/>
            </a:ln>
            <a:effectLst/>
          </c:spPr>
          <c:invertIfNegative val="0"/>
          <c:dLbls>
            <c:delete val="1"/>
          </c:dLbls>
          <c:cat>
            <c:strRef>
              <c:f>'[垃圾焚烧发电(11.6).xlsx]Sheet3'!$B$29:$B$46</c:f>
              <c:strCache>
                <c:ptCount val="18"/>
                <c:pt idx="0">
                  <c:v>郑州</c:v>
                </c:pt>
                <c:pt idx="1">
                  <c:v>开封</c:v>
                </c:pt>
                <c:pt idx="2">
                  <c:v>洛阳</c:v>
                </c:pt>
                <c:pt idx="3">
                  <c:v>平顶山</c:v>
                </c:pt>
                <c:pt idx="4">
                  <c:v>安阳</c:v>
                </c:pt>
                <c:pt idx="5">
                  <c:v>鹤壁</c:v>
                </c:pt>
                <c:pt idx="6">
                  <c:v>新乡</c:v>
                </c:pt>
                <c:pt idx="7">
                  <c:v>焦作</c:v>
                </c:pt>
                <c:pt idx="8">
                  <c:v>濮阳</c:v>
                </c:pt>
                <c:pt idx="9">
                  <c:v>许昌</c:v>
                </c:pt>
                <c:pt idx="10">
                  <c:v>漯河</c:v>
                </c:pt>
                <c:pt idx="11">
                  <c:v>三门峡</c:v>
                </c:pt>
                <c:pt idx="12">
                  <c:v>南阳</c:v>
                </c:pt>
                <c:pt idx="13">
                  <c:v>商丘</c:v>
                </c:pt>
                <c:pt idx="14">
                  <c:v>信阳</c:v>
                </c:pt>
                <c:pt idx="15">
                  <c:v>周口</c:v>
                </c:pt>
                <c:pt idx="16">
                  <c:v>驻马店</c:v>
                </c:pt>
                <c:pt idx="17">
                  <c:v>济源</c:v>
                </c:pt>
              </c:strCache>
            </c:strRef>
          </c:cat>
          <c:val>
            <c:numRef>
              <c:f>'[垃圾焚烧发电(11.6).xlsx]Sheet3'!$C$29:$C$46</c:f>
              <c:numCache>
                <c:formatCode>General</c:formatCode>
                <c:ptCount val="18"/>
                <c:pt idx="0">
                  <c:v>5</c:v>
                </c:pt>
                <c:pt idx="1">
                  <c:v>4</c:v>
                </c:pt>
                <c:pt idx="2">
                  <c:v>5</c:v>
                </c:pt>
                <c:pt idx="3">
                  <c:v>4</c:v>
                </c:pt>
                <c:pt idx="4">
                  <c:v>3</c:v>
                </c:pt>
                <c:pt idx="5">
                  <c:v>1</c:v>
                </c:pt>
                <c:pt idx="6">
                  <c:v>4</c:v>
                </c:pt>
                <c:pt idx="7">
                  <c:v>2</c:v>
                </c:pt>
                <c:pt idx="8">
                  <c:v>3</c:v>
                </c:pt>
                <c:pt idx="9">
                  <c:v>1</c:v>
                </c:pt>
                <c:pt idx="10">
                  <c:v>1</c:v>
                </c:pt>
                <c:pt idx="11">
                  <c:v>1</c:v>
                </c:pt>
                <c:pt idx="12">
                  <c:v>5</c:v>
                </c:pt>
                <c:pt idx="13">
                  <c:v>6</c:v>
                </c:pt>
                <c:pt idx="14">
                  <c:v>4</c:v>
                </c:pt>
                <c:pt idx="15">
                  <c:v>8</c:v>
                </c:pt>
                <c:pt idx="16">
                  <c:v>7</c:v>
                </c:pt>
                <c:pt idx="17">
                  <c:v>1</c:v>
                </c:pt>
              </c:numCache>
            </c:numRef>
          </c:val>
        </c:ser>
        <c:dLbls>
          <c:showLegendKey val="0"/>
          <c:showVal val="0"/>
          <c:showCatName val="0"/>
          <c:showSerName val="0"/>
          <c:showPercent val="0"/>
          <c:showBubbleSize val="0"/>
        </c:dLbls>
        <c:gapWidth val="219"/>
        <c:overlap val="-27"/>
        <c:axId val="623293829"/>
        <c:axId val="574295332"/>
      </c:barChart>
      <c:lineChart>
        <c:grouping val="standard"/>
        <c:varyColors val="0"/>
        <c:ser>
          <c:idx val="1"/>
          <c:order val="1"/>
          <c:tx>
            <c:strRef>
              <c:f>'[垃圾焚烧发电(11.6).xlsx]Sheet3'!$D$28</c:f>
              <c:strCache>
                <c:ptCount val="1"/>
                <c:pt idx="0">
                  <c:v>总设计处理规模（t/d）</c:v>
                </c:pt>
              </c:strCache>
            </c:strRef>
          </c:tx>
          <c:spPr>
            <a:ln w="28575" cap="rnd">
              <a:solidFill>
                <a:schemeClr val="accent2"/>
              </a:solidFill>
              <a:round/>
            </a:ln>
            <a:effectLst/>
          </c:spPr>
          <c:marker>
            <c:symbol val="none"/>
          </c:marker>
          <c:dLbls>
            <c:delete val="1"/>
          </c:dLbls>
          <c:cat>
            <c:strRef>
              <c:f>'[垃圾焚烧发电(11.6).xlsx]Sheet3'!$B$29:$B$46</c:f>
              <c:strCache>
                <c:ptCount val="18"/>
                <c:pt idx="0">
                  <c:v>郑州</c:v>
                </c:pt>
                <c:pt idx="1">
                  <c:v>开封</c:v>
                </c:pt>
                <c:pt idx="2">
                  <c:v>洛阳</c:v>
                </c:pt>
                <c:pt idx="3">
                  <c:v>平顶山</c:v>
                </c:pt>
                <c:pt idx="4">
                  <c:v>安阳</c:v>
                </c:pt>
                <c:pt idx="5">
                  <c:v>鹤壁</c:v>
                </c:pt>
                <c:pt idx="6">
                  <c:v>新乡</c:v>
                </c:pt>
                <c:pt idx="7">
                  <c:v>焦作</c:v>
                </c:pt>
                <c:pt idx="8">
                  <c:v>濮阳</c:v>
                </c:pt>
                <c:pt idx="9">
                  <c:v>许昌</c:v>
                </c:pt>
                <c:pt idx="10">
                  <c:v>漯河</c:v>
                </c:pt>
                <c:pt idx="11">
                  <c:v>三门峡</c:v>
                </c:pt>
                <c:pt idx="12">
                  <c:v>南阳</c:v>
                </c:pt>
                <c:pt idx="13">
                  <c:v>商丘</c:v>
                </c:pt>
                <c:pt idx="14">
                  <c:v>信阳</c:v>
                </c:pt>
                <c:pt idx="15">
                  <c:v>周口</c:v>
                </c:pt>
                <c:pt idx="16">
                  <c:v>驻马店</c:v>
                </c:pt>
                <c:pt idx="17">
                  <c:v>济源</c:v>
                </c:pt>
              </c:strCache>
            </c:strRef>
          </c:cat>
          <c:val>
            <c:numRef>
              <c:f>'[垃圾焚烧发电(11.6).xlsx]Sheet3'!$D$29:$D$46</c:f>
              <c:numCache>
                <c:formatCode>General</c:formatCode>
                <c:ptCount val="18"/>
                <c:pt idx="0">
                  <c:v>10550</c:v>
                </c:pt>
                <c:pt idx="1">
                  <c:v>3450</c:v>
                </c:pt>
                <c:pt idx="2">
                  <c:v>6000</c:v>
                </c:pt>
                <c:pt idx="3">
                  <c:v>4200</c:v>
                </c:pt>
                <c:pt idx="4">
                  <c:v>3750</c:v>
                </c:pt>
                <c:pt idx="5">
                  <c:v>1000</c:v>
                </c:pt>
                <c:pt idx="6">
                  <c:v>3700</c:v>
                </c:pt>
                <c:pt idx="7">
                  <c:v>3000</c:v>
                </c:pt>
                <c:pt idx="8">
                  <c:v>2200</c:v>
                </c:pt>
                <c:pt idx="9">
                  <c:v>2250</c:v>
                </c:pt>
                <c:pt idx="10">
                  <c:v>1500</c:v>
                </c:pt>
                <c:pt idx="11">
                  <c:v>1500</c:v>
                </c:pt>
                <c:pt idx="12">
                  <c:v>4700</c:v>
                </c:pt>
                <c:pt idx="13">
                  <c:v>3950</c:v>
                </c:pt>
                <c:pt idx="14">
                  <c:v>4220</c:v>
                </c:pt>
                <c:pt idx="15">
                  <c:v>5800</c:v>
                </c:pt>
                <c:pt idx="16">
                  <c:v>4600</c:v>
                </c:pt>
                <c:pt idx="17">
                  <c:v>600</c:v>
                </c:pt>
              </c:numCache>
            </c:numRef>
          </c:val>
          <c:smooth val="0"/>
        </c:ser>
        <c:dLbls>
          <c:showLegendKey val="0"/>
          <c:showVal val="0"/>
          <c:showCatName val="0"/>
          <c:showSerName val="0"/>
          <c:showPercent val="0"/>
          <c:showBubbleSize val="0"/>
        </c:dLbls>
        <c:marker val="0"/>
        <c:smooth val="0"/>
        <c:axId val="792604147"/>
        <c:axId val="621509837"/>
      </c:lineChart>
      <c:catAx>
        <c:axId val="79260414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621509837"/>
        <c:crosses val="autoZero"/>
        <c:auto val="1"/>
        <c:lblAlgn val="ctr"/>
        <c:lblOffset val="100"/>
        <c:noMultiLvlLbl val="0"/>
      </c:catAx>
      <c:valAx>
        <c:axId val="62150983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792604147"/>
        <c:crosses val="autoZero"/>
        <c:crossBetween val="between"/>
      </c:valAx>
      <c:catAx>
        <c:axId val="623293829"/>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574295332"/>
        <c:crosses val="autoZero"/>
        <c:auto val="1"/>
        <c:lblAlgn val="ctr"/>
        <c:lblOffset val="100"/>
        <c:noMultiLvlLbl val="0"/>
      </c:catAx>
      <c:valAx>
        <c:axId val="574295332"/>
        <c:scaling>
          <c:orientation val="minMax"/>
        </c:scaling>
        <c:delete val="0"/>
        <c:axPos val="r"/>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623293829"/>
        <c:crosses val="max"/>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80E382-25FC-4778-B5FA-18F149860B9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66</Pages>
  <Words>27119</Words>
  <Characters>32132</Characters>
  <Lines>259</Lines>
  <Paragraphs>73</Paragraphs>
  <TotalTime>1</TotalTime>
  <ScaleCrop>false</ScaleCrop>
  <LinksUpToDate>false</LinksUpToDate>
  <CharactersWithSpaces>32773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2019-07-08T03:25:00Z</dcterms:created>
  <dc:creator>Liu</dc:creator>
  <cp:lastModifiedBy>11</cp:lastModifiedBy>
  <cp:lastPrinted>2022-03-21T04:56:00Z</cp:lastPrinted>
  <dcterms:modified xsi:type="dcterms:W3CDTF">2023-08-21T15:11:42Z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DAAB38C37B3D40EB872C2809F8C1F458_13</vt:lpwstr>
  </property>
</Properties>
</file>